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8FECF" w14:textId="77777777" w:rsidR="004942C8" w:rsidRDefault="004942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4942C8" w14:paraId="08D00703" w14:textId="77777777">
        <w:trPr>
          <w:trHeight w:val="3119"/>
        </w:trPr>
        <w:tc>
          <w:tcPr>
            <w:tcW w:w="9072" w:type="dxa"/>
          </w:tcPr>
          <w:p w14:paraId="72E41394" w14:textId="77777777" w:rsidR="004942C8" w:rsidRDefault="00494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0"/>
              <w:tblW w:w="885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86"/>
              <w:gridCol w:w="2770"/>
            </w:tblGrid>
            <w:tr w:rsidR="004942C8" w14:paraId="7922B999" w14:textId="77777777">
              <w:trPr>
                <w:trHeight w:val="1584"/>
              </w:trPr>
              <w:tc>
                <w:tcPr>
                  <w:tcW w:w="6086" w:type="dxa"/>
                </w:tcPr>
                <w:p w14:paraId="32D00070" w14:textId="77777777" w:rsidR="004942C8" w:rsidRDefault="00C276B0">
                  <w:pPr>
                    <w:jc w:val="both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noProof/>
                      <w:sz w:val="24"/>
                      <w:szCs w:val="24"/>
                    </w:rPr>
                    <w:drawing>
                      <wp:inline distT="0" distB="0" distL="0" distR="0" wp14:anchorId="1A6D0C1A" wp14:editId="64760A93">
                        <wp:extent cx="3470496" cy="904348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70496" cy="904348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0" w:type="dxa"/>
                </w:tcPr>
                <w:p w14:paraId="70ADA346" w14:textId="77777777" w:rsidR="004942C8" w:rsidRDefault="004942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</w:p>
                <w:p w14:paraId="505DA56C" w14:textId="77777777" w:rsidR="004942C8" w:rsidRDefault="004942C8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</w:p>
                <w:p w14:paraId="339FF6C7" w14:textId="77777777" w:rsidR="004942C8" w:rsidRDefault="00C276B0">
                  <w:pPr>
                    <w:jc w:val="right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  <w:highlight w:val="yellow"/>
                    </w:rPr>
                    <w:t>Lundi 6 avril 2020</w:t>
                  </w:r>
                </w:p>
                <w:p w14:paraId="1ACB0244" w14:textId="77777777" w:rsidR="004942C8" w:rsidRDefault="00C276B0">
                  <w:pPr>
                    <w:jc w:val="right"/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Lettre d’information</w:t>
                  </w:r>
                </w:p>
              </w:tc>
            </w:tr>
          </w:tbl>
          <w:p w14:paraId="44372D0D" w14:textId="77777777" w:rsidR="004942C8" w:rsidRDefault="00C276B0">
            <w:pPr>
              <w:jc w:val="center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>MÉMO #6 CORONAVIRUS COVID-19</w:t>
            </w:r>
          </w:p>
          <w:p w14:paraId="13C818FA" w14:textId="77777777" w:rsidR="004942C8" w:rsidRDefault="00C276B0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  <w:t>STRUCTURER LES PROJETS D’ORGANISATION TERRITORIALE FACE À LA PANDEMIE</w:t>
            </w:r>
          </w:p>
          <w:p w14:paraId="7E72ECB5" w14:textId="77777777" w:rsidR="004942C8" w:rsidRDefault="004942C8">
            <w:pPr>
              <w:jc w:val="both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</w:p>
          <w:p w14:paraId="19EFDD4F" w14:textId="381E032F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Depuis le début de l’épidémie du Covid-19, les médecins libéraux de notre territoire ont démontré leur capacité à réagir rapidement, pour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adapter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leur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pratique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et faire face à la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crise sanitaire : les salles d'attente ont rapidement été vidées, les actes non urgents déprogrammés, et la téléconsultation a été largement déployée, tout cela en un temps record.</w:t>
            </w:r>
          </w:p>
          <w:p w14:paraId="2209D56D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E4D7323" w14:textId="351CE367" w:rsidR="004942C8" w:rsidRDefault="00821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Les praticiens</w:t>
            </w:r>
            <w:r w:rsidR="00C276B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sont également nombreux à avoir prévu des organisations spécifiques en</w:t>
            </w:r>
            <w:r w:rsidR="00C276B0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cas de débordement des capacités d'accueil des cabinets.</w:t>
            </w:r>
          </w:p>
          <w:p w14:paraId="2C46FCED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</w:p>
          <w:p w14:paraId="3A61E9A3" w14:textId="452A75E9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L'Union Régionale des Professionnels de Santé Médecins Libéraux PACA, pleinement mobilisée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pour soutenir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tous les médecins li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béraux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et pour les accompagner tant sur les enjeux logistiques qu’organ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isationnels, a recensé ces nombreuses initiatives dans la région. La liste et les coordonnées de chaque organisateur sont en ligne </w:t>
            </w:r>
            <w:hyperlink r:id="rId6" w:history="1">
              <w:r w:rsidR="008217A0">
                <w:rPr>
                  <w:rStyle w:val="Lienhypertexte"/>
                  <w:rFonts w:ascii="Arial Narrow" w:eastAsia="Arial Narrow" w:hAnsi="Arial Narrow" w:cs="Arial Narrow"/>
                  <w:b/>
                  <w:sz w:val="24"/>
                  <w:szCs w:val="24"/>
                </w:rPr>
                <w:t>en cliquant ici.</w:t>
              </w:r>
            </w:hyperlink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</w:p>
          <w:p w14:paraId="594CEE60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7761C2BF" w14:textId="77777777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Les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élus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l’URPS Médecins Libéraux PACA, plus que jamais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engagé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dans la défense des conditions d’exercice de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leurs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confrères,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ont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obtenu auprès de l'ARS et de la CPAM que ces initiatives soient reconnues comme faisant partie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intégrante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de l’organisation sanitaire régionale face au Covid-19. Aussi, pour favorise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 la mise en place de ces projets, les démarches ont été simplifiées tout en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précisant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le cadre de sécurité des médecins libéraux (en particulier concernant les mesures d’hygiène).</w:t>
            </w:r>
          </w:p>
          <w:p w14:paraId="7C790C79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AE07E29" w14:textId="77777777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Dans ces conditions,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tout projet devra être déclaré, mais ne nécessitera pas la validation préalable des instances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avant sa mise en route.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Les centres peuvent en outre impliquer l’ensemble des acteur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 santé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volontaires du territoire, sans restriction.</w:t>
            </w:r>
          </w:p>
          <w:p w14:paraId="2154BCA5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AD5BFF0" w14:textId="77777777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L'URPS ML PACA met à votre disposition des outils pratiques pour coordonner la mise en place d’un centre C3 :</w:t>
            </w:r>
          </w:p>
          <w:p w14:paraId="0531244C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94A1D5F" w14:textId="77777777" w:rsidR="004942C8" w:rsidRDefault="00C27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Une plateforme SMS </w:t>
            </w: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in situ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pour la prise de rendez-vous dans les centres C3 ; </w:t>
            </w:r>
          </w:p>
          <w:p w14:paraId="3B55B455" w14:textId="77777777" w:rsidR="004942C8" w:rsidRDefault="00C27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 outil de télé ex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pertise cardio en cours de finalisation ; </w:t>
            </w:r>
          </w:p>
          <w:p w14:paraId="61F3ED27" w14:textId="596EA73F" w:rsidR="004942C8" w:rsidRDefault="00C27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ne aide logistique </w:t>
            </w:r>
            <w:r w:rsidR="008217A0">
              <w:rPr>
                <w:rFonts w:ascii="Arial Narrow" w:eastAsia="Arial Narrow" w:hAnsi="Arial Narrow" w:cs="Arial Narrow"/>
                <w:sz w:val="24"/>
                <w:szCs w:val="24"/>
              </w:rPr>
              <w:t>notamment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pour impression et diffusion de documents</w:t>
            </w:r>
            <w:r w:rsidR="008217A0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;</w:t>
            </w:r>
          </w:p>
          <w:p w14:paraId="65DDEDEC" w14:textId="77777777" w:rsidR="004942C8" w:rsidRDefault="00C276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 conseil juridique spécialisé pour la vérification de l’objet social de la structure qui porte le projet.</w:t>
            </w:r>
          </w:p>
          <w:p w14:paraId="0DFD6123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C842C7E" w14:textId="3734F592" w:rsidR="004942C8" w:rsidRDefault="00C27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Les documents nécessaires à la mise en place de projets ainsi que les contacts des chargés de mission exercices coordonnés URPS sont en ligne </w:t>
            </w:r>
            <w:hyperlink r:id="rId7" w:history="1">
              <w:r w:rsidR="008217A0" w:rsidRPr="008217A0">
                <w:rPr>
                  <w:rStyle w:val="Lienhypertexte"/>
                  <w:rFonts w:ascii="Arial Narrow" w:eastAsia="Arial Narrow" w:hAnsi="Arial Narrow" w:cs="Arial Narrow"/>
                  <w:sz w:val="24"/>
                  <w:szCs w:val="24"/>
                </w:rPr>
                <w:t>en cliquant ici</w:t>
              </w:r>
            </w:hyperlink>
            <w:r w:rsidR="008217A0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05ABC122" w14:textId="77777777" w:rsidR="004942C8" w:rsidRDefault="00494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tbl>
            <w:tblPr>
              <w:tblStyle w:val="a1"/>
              <w:tblW w:w="88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36"/>
            </w:tblGrid>
            <w:tr w:rsidR="004942C8" w14:paraId="54482842" w14:textId="77777777">
              <w:tc>
                <w:tcPr>
                  <w:tcW w:w="8836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C000"/>
                </w:tcPr>
                <w:p w14:paraId="291CE349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 Narrow" w:eastAsia="Arial Narrow" w:hAnsi="Arial Narrow" w:cs="Arial Narrow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FFFFFF"/>
                      <w:sz w:val="24"/>
                      <w:szCs w:val="24"/>
                    </w:rPr>
                    <w:t xml:space="preserve">GUIDE POUR LA DECLARATION DES CENTRES DE CONSULTATION COVID 3C </w:t>
                  </w:r>
                </w:p>
              </w:tc>
            </w:tr>
            <w:tr w:rsidR="004942C8" w14:paraId="33EF2E42" w14:textId="77777777">
              <w:tc>
                <w:tcPr>
                  <w:tcW w:w="8836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</w:tcPr>
                <w:p w14:paraId="6F3D436A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Démarches administratives collectives</w:t>
                  </w:r>
                </w:p>
                <w:p w14:paraId="1C5038BD" w14:textId="77777777" w:rsidR="004942C8" w:rsidRDefault="004942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</w:pPr>
                </w:p>
                <w:p w14:paraId="4C9D6E9F" w14:textId="77777777" w:rsidR="004942C8" w:rsidRDefault="00C276B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 xml:space="preserve">Adresser une fiche déclarative d’information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à la DD ARS, la CPAM et au CDOM du département concerné. Cette fiche devra : </w:t>
                  </w:r>
                </w:p>
                <w:p w14:paraId="4EA999EF" w14:textId="77777777" w:rsidR="004942C8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Décrire le fonctionnement du C3 (liste des participants, modalités d'accès, circuit du patient, protocoles d’hygiène e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t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d’évacuation des déchets), </w:t>
                  </w:r>
                </w:p>
                <w:p w14:paraId="5B834D4D" w14:textId="77777777" w:rsidR="004942C8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Préciser les modalités de transmission des informations (médecin traitant, surveillance des patients) et de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liaison prévue avec les centres hospitaliers (Centre 15, services d’accueil des urgences, ou autres services de prises en charge des patients COVID19).</w:t>
                  </w:r>
                </w:p>
                <w:p w14:paraId="573956E4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440"/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DC75373" w14:textId="4E5ED3CC" w:rsidR="004942C8" w:rsidRDefault="00C276B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Vérifier l’assurance des locaux concernés :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si un local spécifique (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Gymnase, école, clinique</w:t>
                  </w:r>
                  <w:r w:rsid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, etc.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) est mis à disposition des professionnels pour créer un centre, il convient de déclarer cette activité « médicale » à l’assureur des locaux (</w:t>
                  </w:r>
                  <w:r w:rsid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ssurance de la Mairie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, de l’école</w:t>
                  </w:r>
                  <w:r w:rsid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, etc.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), afin d’être bien sûr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 qu’il couvre les risques liés à l’utilisation des locaux</w:t>
                  </w:r>
                  <w:r w:rsid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et du matériel dans ce contexte particulier.</w:t>
                  </w:r>
                </w:p>
                <w:p w14:paraId="72D94ED2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15B1CBA6" w14:textId="77777777" w:rsidR="004942C8" w:rsidRDefault="00C276B0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Assurer et souscrire une assurance en RCP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adaptée, si c'est une structure MSP, CPTS, association, qui porte le projet : </w:t>
                  </w:r>
                </w:p>
                <w:p w14:paraId="60DE4E6F" w14:textId="77777777" w:rsidR="004942C8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Les assurances RCP souscrites couvrent le risque dans la limite de l’objet social tel que déclaré à l’assureur.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  <w:u w:val="single"/>
                    </w:rPr>
                    <w:t>Il est important de faire vérifier par un cabinet juridique spécialisé en droit de la santé l’objet social initial mentionné dans les statuts de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  <w:u w:val="single"/>
                    </w:rPr>
                    <w:t xml:space="preserve"> la structure.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B73DBD4" w14:textId="77777777" w:rsidR="004942C8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Une assurance complémentaire personnelle pour les dirigeants de l’association est fortement recommandée.</w:t>
                  </w:r>
                </w:p>
                <w:p w14:paraId="36C5363F" w14:textId="77777777" w:rsidR="004942C8" w:rsidRDefault="004942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</w:p>
                <w:p w14:paraId="46BEEDBF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Démarches administratives individuelles</w:t>
                  </w:r>
                </w:p>
                <w:p w14:paraId="25B39094" w14:textId="77777777" w:rsidR="004942C8" w:rsidRDefault="004942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</w:p>
                <w:p w14:paraId="74BE4F96" w14:textId="77777777" w:rsidR="004942C8" w:rsidRDefault="00C276B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Déclarer son activité auprès de sa RCP individuelle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, notamment pour les médecins retraités : </w:t>
                  </w:r>
                </w:p>
                <w:p w14:paraId="440014D2" w14:textId="77777777" w:rsidR="004942C8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Les professionnels de santé doivent 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  <w:u w:val="single"/>
                    </w:rPr>
                    <w:t>vérifier que leur RCP couvre les modifications de leur champ d’exercice ou lieu d’exercice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dans le cadre de leurs intervention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s dans la crise sanitaire</w:t>
                  </w:r>
                </w:p>
                <w:p w14:paraId="522B8259" w14:textId="77777777" w:rsidR="004942C8" w:rsidRDefault="00C276B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Pour les médecins installés</w:t>
                  </w:r>
                </w:p>
                <w:p w14:paraId="6A3463CD" w14:textId="620D7961" w:rsidR="004942C8" w:rsidRPr="008217A0" w:rsidRDefault="00C276B0">
                  <w:pPr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color w:val="000000"/>
                    </w:rPr>
                  </w:pPr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Remplir la déclaration d’exercice LME, fiche individuelle simplifiée </w:t>
                  </w:r>
                  <w:hyperlink r:id="rId8" w:history="1">
                    <w:r w:rsidRPr="008217A0">
                      <w:rPr>
                        <w:rStyle w:val="Lienhypertexte"/>
                        <w:rFonts w:ascii="Arial Narrow" w:eastAsia="Arial Narrow" w:hAnsi="Arial Narrow" w:cs="Arial Narrow"/>
                        <w:sz w:val="24"/>
                        <w:szCs w:val="24"/>
                      </w:rPr>
                      <w:t>à télécharger ic</w:t>
                    </w:r>
                    <w:r w:rsidRPr="008217A0">
                      <w:rPr>
                        <w:rStyle w:val="Lienhypertexte"/>
                        <w:rFonts w:ascii="Arial Narrow" w:eastAsia="Arial Narrow" w:hAnsi="Arial Narrow" w:cs="Arial Narrow"/>
                        <w:sz w:val="24"/>
                        <w:szCs w:val="24"/>
                      </w:rPr>
                      <w:t>i</w:t>
                    </w:r>
                  </w:hyperlink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et à renvoyer au CDOM.</w:t>
                  </w:r>
                </w:p>
                <w:p w14:paraId="76E596A5" w14:textId="77777777" w:rsidR="004942C8" w:rsidRPr="008217A0" w:rsidRDefault="00C276B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 w:rsidRPr="008217A0">
                    <w:rPr>
                      <w:rFonts w:ascii="Arial Narrow" w:eastAsia="Arial Narrow" w:hAnsi="Arial Narrow" w:cs="Arial Narrow"/>
                      <w:b/>
                      <w:color w:val="000000"/>
                      <w:sz w:val="24"/>
                      <w:szCs w:val="24"/>
                    </w:rPr>
                    <w:t>Prévoir un contrat de remplacement</w:t>
                  </w:r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si </w:t>
                  </w:r>
                  <w:r w:rsidRP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nécessaire</w:t>
                  </w:r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 xml:space="preserve"> (dérogation exceptionnelle circulaire CNOM </w:t>
                  </w:r>
                  <w:r w:rsidRPr="008217A0"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 xml:space="preserve">2020-09 </w:t>
                  </w:r>
                  <w:r w:rsidRPr="008217A0"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permettant au remplaçant de travailler en même temps que le remplacé).</w:t>
                  </w:r>
                </w:p>
                <w:p w14:paraId="60D13CB6" w14:textId="77777777" w:rsidR="004942C8" w:rsidRDefault="004942C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</w:p>
                <w:p w14:paraId="56130D39" w14:textId="77777777" w:rsidR="004942C8" w:rsidRDefault="00C276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sz w:val="24"/>
                      <w:szCs w:val="24"/>
                    </w:rPr>
                    <w:t>La rémunération des professionnels de santé libéraux sera faite par le paiement à l’acte, facturation à l’assurance maladie d’actes à 100%</w:t>
                  </w:r>
                  <w:r>
                    <w:rPr>
                      <w:rFonts w:ascii="Arial Narrow" w:eastAsia="Arial Narrow" w:hAnsi="Arial Narrow" w:cs="Arial Narrow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79CE58B0" w14:textId="77777777" w:rsidR="004942C8" w:rsidRDefault="004942C8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677AED9C" w14:textId="77777777" w:rsidR="004942C8" w:rsidRDefault="00C276B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>Des questions ?</w:t>
            </w:r>
          </w:p>
          <w:p w14:paraId="71FA55C2" w14:textId="77777777" w:rsidR="004942C8" w:rsidRDefault="00C276B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>Contactez l’URPS Médecins Libéraux Provence Alpes Côte d’Azur</w:t>
            </w:r>
          </w:p>
          <w:p w14:paraId="2BB8ED63" w14:textId="77777777" w:rsidR="004942C8" w:rsidRDefault="00C276B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>04 96 20 60 80 - contact@urps-ml-paca.org</w:t>
            </w:r>
          </w:p>
          <w:p w14:paraId="7077B6D2" w14:textId="77777777" w:rsidR="004942C8" w:rsidRDefault="00C276B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 xml:space="preserve">37/39 Bd Vincent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>Delpuech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ED7D31"/>
                <w:sz w:val="24"/>
                <w:szCs w:val="24"/>
              </w:rPr>
              <w:t xml:space="preserve"> 13006 Marseille</w:t>
            </w:r>
          </w:p>
          <w:p w14:paraId="3BAD778C" w14:textId="77777777" w:rsidR="004942C8" w:rsidRDefault="004942C8">
            <w:pP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</w:tbl>
    <w:p w14:paraId="2FA9A6B4" w14:textId="77777777" w:rsidR="004942C8" w:rsidRDefault="004942C8">
      <w:pPr>
        <w:jc w:val="center"/>
        <w:rPr>
          <w:rFonts w:ascii="Arial Narrow" w:eastAsia="Arial Narrow" w:hAnsi="Arial Narrow" w:cs="Arial Narrow"/>
          <w:b/>
          <w:color w:val="ED7D31"/>
          <w:sz w:val="24"/>
          <w:szCs w:val="24"/>
        </w:rPr>
      </w:pPr>
    </w:p>
    <w:sectPr w:rsidR="004942C8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A3D"/>
    <w:multiLevelType w:val="multilevel"/>
    <w:tmpl w:val="CEE6D1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D3940"/>
    <w:multiLevelType w:val="multilevel"/>
    <w:tmpl w:val="FCC25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24D"/>
    <w:multiLevelType w:val="multilevel"/>
    <w:tmpl w:val="3398A4E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B0035C4"/>
    <w:multiLevelType w:val="multilevel"/>
    <w:tmpl w:val="B96C0904"/>
    <w:lvl w:ilvl="0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8"/>
    <w:rsid w:val="004942C8"/>
    <w:rsid w:val="008217A0"/>
    <w:rsid w:val="00C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A093"/>
  <w15:docId w15:val="{2C66EDE3-B7E0-44CA-9472-BB80EDA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217A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ps-ml-paca.org/wp-content/uploads/2020/03/Formulaire-art_85-simplifie%CC%8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ps-ml-pa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ps-ml-paca.org/?page_id=68595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urielle dutartre</dc:creator>
  <cp:lastModifiedBy>urielle dutartre</cp:lastModifiedBy>
  <cp:revision>2</cp:revision>
  <dcterms:created xsi:type="dcterms:W3CDTF">2020-04-06T08:25:00Z</dcterms:created>
  <dcterms:modified xsi:type="dcterms:W3CDTF">2020-04-06T08:25:00Z</dcterms:modified>
</cp:coreProperties>
</file>