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5608" w14:textId="77777777" w:rsidR="00C2389D" w:rsidRDefault="00327DCB" w:rsidP="004D3053">
      <w:pPr>
        <w:rPr>
          <w:b/>
          <w:noProof/>
          <w:sz w:val="16"/>
          <w:szCs w:val="16"/>
        </w:rPr>
      </w:pPr>
      <w:r>
        <w:rPr>
          <w:b/>
          <w:noProof/>
          <w:sz w:val="16"/>
          <w:szCs w:val="16"/>
        </w:rPr>
        <w:drawing>
          <wp:anchor distT="0" distB="0" distL="114300" distR="114300" simplePos="0" relativeHeight="251656192" behindDoc="0" locked="0" layoutInCell="0" allowOverlap="1" wp14:anchorId="444F8654" wp14:editId="39E117D6">
            <wp:simplePos x="0" y="0"/>
            <wp:positionH relativeFrom="column">
              <wp:posOffset>-542925</wp:posOffset>
            </wp:positionH>
            <wp:positionV relativeFrom="paragraph">
              <wp:posOffset>-591185</wp:posOffset>
            </wp:positionV>
            <wp:extent cx="1943100" cy="126492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rPr>
        <w:drawing>
          <wp:anchor distT="0" distB="0" distL="114300" distR="114300" simplePos="0" relativeHeight="251658240" behindDoc="0" locked="0" layoutInCell="0" allowOverlap="1" wp14:anchorId="0B5C45FC" wp14:editId="6DF594D5">
            <wp:simplePos x="0" y="0"/>
            <wp:positionH relativeFrom="column">
              <wp:posOffset>-906145</wp:posOffset>
            </wp:positionH>
            <wp:positionV relativeFrom="paragraph">
              <wp:posOffset>-915670</wp:posOffset>
            </wp:positionV>
            <wp:extent cx="7600315" cy="53213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031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871DC" w14:textId="77777777" w:rsidR="00C2389D" w:rsidRDefault="00C2389D" w:rsidP="004D3053">
      <w:pPr>
        <w:rPr>
          <w:b/>
          <w:noProof/>
          <w:sz w:val="16"/>
          <w:szCs w:val="16"/>
        </w:rPr>
      </w:pPr>
    </w:p>
    <w:p w14:paraId="4D14CFA0" w14:textId="77777777" w:rsidR="00C2389D" w:rsidRDefault="00C2389D" w:rsidP="004D3053">
      <w:pPr>
        <w:rPr>
          <w:b/>
          <w:noProof/>
          <w:sz w:val="16"/>
          <w:szCs w:val="16"/>
        </w:rPr>
      </w:pPr>
    </w:p>
    <w:p w14:paraId="326E0AA3" w14:textId="77777777" w:rsidR="00C2389D" w:rsidRDefault="00C2389D" w:rsidP="004D3053">
      <w:pPr>
        <w:rPr>
          <w:b/>
          <w:noProof/>
          <w:sz w:val="16"/>
          <w:szCs w:val="16"/>
        </w:rPr>
      </w:pPr>
    </w:p>
    <w:p w14:paraId="429ADD11" w14:textId="77777777" w:rsidR="00C2389D" w:rsidRDefault="00C2389D" w:rsidP="004D3053">
      <w:pPr>
        <w:rPr>
          <w:b/>
          <w:noProof/>
          <w:sz w:val="16"/>
          <w:szCs w:val="16"/>
        </w:rPr>
      </w:pPr>
    </w:p>
    <w:p w14:paraId="4A1FA473" w14:textId="77777777" w:rsidR="00B64C70" w:rsidRDefault="00327DCB" w:rsidP="00B64C70">
      <w:pPr>
        <w:rPr>
          <w:b/>
          <w:noProof/>
          <w:sz w:val="16"/>
          <w:szCs w:val="16"/>
        </w:rPr>
      </w:pPr>
      <w:r w:rsidRPr="00945ABC">
        <w:rPr>
          <w:b/>
          <w:noProof/>
          <w:sz w:val="16"/>
          <w:szCs w:val="16"/>
        </w:rPr>
        <w:drawing>
          <wp:anchor distT="0" distB="0" distL="114300" distR="114300" simplePos="0" relativeHeight="251659264" behindDoc="0" locked="0" layoutInCell="0" allowOverlap="1" wp14:anchorId="015BA9BE" wp14:editId="348B82F7">
            <wp:simplePos x="0" y="0"/>
            <wp:positionH relativeFrom="column">
              <wp:posOffset>-542925</wp:posOffset>
            </wp:positionH>
            <wp:positionV relativeFrom="paragraph">
              <wp:posOffset>33655</wp:posOffset>
            </wp:positionV>
            <wp:extent cx="151130" cy="1889760"/>
            <wp:effectExtent l="0" t="0" r="0" b="0"/>
            <wp:wrapSquare wrapText="bothSides"/>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4B05C" w14:textId="77777777" w:rsidR="0058720B" w:rsidRPr="00945ABC" w:rsidRDefault="0058720B" w:rsidP="0058720B">
      <w:pPr>
        <w:rPr>
          <w:b/>
          <w:noProof/>
          <w:sz w:val="16"/>
          <w:szCs w:val="16"/>
        </w:rPr>
      </w:pPr>
      <w:r w:rsidRPr="00945ABC">
        <w:rPr>
          <w:b/>
          <w:noProof/>
          <w:sz w:val="16"/>
          <w:szCs w:val="16"/>
        </w:rPr>
        <w:t>Le directeur général</w:t>
      </w:r>
    </w:p>
    <w:p w14:paraId="581E986E" w14:textId="77777777" w:rsidR="00B64C70" w:rsidRDefault="00B64C70" w:rsidP="004D3053">
      <w:pPr>
        <w:rPr>
          <w:b/>
          <w:noProof/>
          <w:sz w:val="16"/>
          <w:szCs w:val="16"/>
        </w:rPr>
      </w:pPr>
    </w:p>
    <w:tbl>
      <w:tblPr>
        <w:tblW w:w="9606" w:type="dxa"/>
        <w:tblLook w:val="01E0" w:firstRow="1" w:lastRow="1" w:firstColumn="1" w:lastColumn="1" w:noHBand="0" w:noVBand="0"/>
      </w:tblPr>
      <w:tblGrid>
        <w:gridCol w:w="4786"/>
        <w:gridCol w:w="851"/>
        <w:gridCol w:w="3969"/>
      </w:tblGrid>
      <w:tr w:rsidR="00551EB2" w:rsidRPr="00AD0069" w14:paraId="5ED514E3" w14:textId="77777777" w:rsidTr="001500CB">
        <w:trPr>
          <w:trHeight w:val="80"/>
        </w:trPr>
        <w:tc>
          <w:tcPr>
            <w:tcW w:w="4786" w:type="dxa"/>
            <w:vMerge w:val="restart"/>
          </w:tcPr>
          <w:p w14:paraId="28CA9A17" w14:textId="77777777" w:rsidR="00551EB2" w:rsidRPr="00AD0069" w:rsidRDefault="00327DCB" w:rsidP="00E07727">
            <w:pPr>
              <w:rPr>
                <w:b/>
                <w:noProof/>
                <w:sz w:val="16"/>
                <w:szCs w:val="16"/>
              </w:rPr>
            </w:pPr>
            <w:r>
              <w:rPr>
                <w:b/>
                <w:noProof/>
                <w:sz w:val="16"/>
                <w:szCs w:val="16"/>
              </w:rPr>
              <w:drawing>
                <wp:anchor distT="0" distB="0" distL="114300" distR="114300" simplePos="0" relativeHeight="251657216" behindDoc="0" locked="0" layoutInCell="0" allowOverlap="1" wp14:anchorId="672C0643" wp14:editId="1EF91717">
                  <wp:simplePos x="0" y="0"/>
                  <wp:positionH relativeFrom="column">
                    <wp:posOffset>-542925</wp:posOffset>
                  </wp:positionH>
                  <wp:positionV relativeFrom="paragraph">
                    <wp:posOffset>3810</wp:posOffset>
                  </wp:positionV>
                  <wp:extent cx="151130" cy="1889760"/>
                  <wp:effectExtent l="0" t="0" r="0" b="0"/>
                  <wp:wrapSquare wrapText="bothSides"/>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674" w:rsidRPr="00AD0069">
              <w:rPr>
                <w:b/>
                <w:noProof/>
                <w:sz w:val="16"/>
                <w:szCs w:val="16"/>
              </w:rPr>
              <w:fldChar w:fldCharType="begin"/>
            </w:r>
            <w:r w:rsidR="00146674" w:rsidRPr="00AD0069">
              <w:rPr>
                <w:b/>
                <w:noProof/>
                <w:sz w:val="16"/>
                <w:szCs w:val="16"/>
              </w:rPr>
              <w:instrText xml:space="preserve"> DOCPROPERTY  Direction_redacteur  \* MERGEFORMAT </w:instrText>
            </w:r>
            <w:r w:rsidR="00146674" w:rsidRPr="00AD0069">
              <w:rPr>
                <w:b/>
                <w:noProof/>
                <w:sz w:val="16"/>
                <w:szCs w:val="16"/>
              </w:rPr>
              <w:fldChar w:fldCharType="separate"/>
            </w:r>
            <w:r w:rsidR="00274943">
              <w:rPr>
                <w:b/>
                <w:noProof/>
                <w:sz w:val="16"/>
                <w:szCs w:val="16"/>
              </w:rPr>
              <w:t>Votre direction</w:t>
            </w:r>
            <w:r w:rsidR="00146674" w:rsidRPr="00AD0069">
              <w:rPr>
                <w:b/>
                <w:noProof/>
                <w:sz w:val="16"/>
                <w:szCs w:val="16"/>
              </w:rPr>
              <w:fldChar w:fldCharType="end"/>
            </w:r>
          </w:p>
          <w:p w14:paraId="7F862DEE" w14:textId="77777777" w:rsidR="00146674" w:rsidRPr="00AD0069" w:rsidRDefault="00146674" w:rsidP="00E07727">
            <w:pPr>
              <w:rPr>
                <w:sz w:val="16"/>
                <w:szCs w:val="16"/>
              </w:rPr>
            </w:pPr>
          </w:p>
          <w:p w14:paraId="599D11E6" w14:textId="77777777" w:rsidR="00551EB2" w:rsidRPr="00AD0069" w:rsidRDefault="00551EB2" w:rsidP="00E07727">
            <w:pPr>
              <w:rPr>
                <w:i/>
                <w:sz w:val="16"/>
                <w:szCs w:val="16"/>
              </w:rPr>
            </w:pPr>
            <w:r w:rsidRPr="00AD0069">
              <w:rPr>
                <w:i/>
                <w:sz w:val="16"/>
                <w:szCs w:val="16"/>
              </w:rPr>
              <w:fldChar w:fldCharType="begin"/>
            </w:r>
            <w:r w:rsidRPr="00AD0069">
              <w:rPr>
                <w:i/>
                <w:sz w:val="16"/>
                <w:szCs w:val="16"/>
              </w:rPr>
              <w:instrText xml:space="preserve"> DOCPROPERTY  _EL_SERVICE_REDACTEUR  \* MERGEFORMAT </w:instrText>
            </w:r>
            <w:r w:rsidRPr="00AD0069">
              <w:rPr>
                <w:i/>
                <w:sz w:val="16"/>
                <w:szCs w:val="16"/>
              </w:rPr>
              <w:fldChar w:fldCharType="separate"/>
            </w:r>
            <w:r w:rsidR="00274943">
              <w:rPr>
                <w:i/>
                <w:sz w:val="16"/>
                <w:szCs w:val="16"/>
              </w:rPr>
              <w:t>DSDP-Direction des soins de proximité</w:t>
            </w:r>
            <w:r w:rsidRPr="00AD0069">
              <w:rPr>
                <w:i/>
                <w:sz w:val="16"/>
                <w:szCs w:val="16"/>
              </w:rPr>
              <w:fldChar w:fldCharType="end"/>
            </w:r>
          </w:p>
          <w:p w14:paraId="79C489EE" w14:textId="77777777" w:rsidR="00551EB2" w:rsidRPr="00AD0069" w:rsidRDefault="00551EB2" w:rsidP="00E07727">
            <w:pPr>
              <w:rPr>
                <w:b/>
                <w:noProof/>
                <w:sz w:val="12"/>
                <w:szCs w:val="12"/>
              </w:rPr>
            </w:pPr>
          </w:p>
          <w:p w14:paraId="03EC6673" w14:textId="77777777" w:rsidR="001B193C" w:rsidRDefault="001B193C" w:rsidP="00E07727">
            <w:pPr>
              <w:rPr>
                <w:b/>
                <w:noProof/>
                <w:sz w:val="16"/>
                <w:szCs w:val="16"/>
              </w:rPr>
            </w:pPr>
          </w:p>
          <w:p w14:paraId="1F230E57" w14:textId="77777777" w:rsidR="00551EB2" w:rsidRPr="00AD0069" w:rsidRDefault="00551EB2" w:rsidP="00E07727">
            <w:pPr>
              <w:rPr>
                <w:b/>
                <w:noProof/>
                <w:sz w:val="16"/>
                <w:szCs w:val="16"/>
              </w:rPr>
            </w:pPr>
            <w:r w:rsidRPr="00AD0069">
              <w:rPr>
                <w:b/>
                <w:noProof/>
                <w:sz w:val="16"/>
                <w:szCs w:val="16"/>
              </w:rPr>
              <w:fldChar w:fldCharType="begin"/>
            </w:r>
            <w:r w:rsidRPr="00AD0069">
              <w:rPr>
                <w:b/>
                <w:noProof/>
                <w:sz w:val="16"/>
                <w:szCs w:val="16"/>
              </w:rPr>
              <w:instrText xml:space="preserve"> IF </w:instrText>
            </w:r>
            <w:r w:rsidRPr="00AD0069">
              <w:rPr>
                <w:b/>
                <w:noProof/>
                <w:sz w:val="16"/>
                <w:szCs w:val="16"/>
              </w:rPr>
              <w:fldChar w:fldCharType="begin"/>
            </w:r>
            <w:r w:rsidRPr="00AD0069">
              <w:rPr>
                <w:b/>
                <w:noProof/>
                <w:sz w:val="16"/>
                <w:szCs w:val="16"/>
              </w:rPr>
              <w:instrText xml:space="preserve"> DOCPROPERTY  _EL_CHRONO_COURRIER_ARRIVE \* MERGEFORMAT </w:instrText>
            </w:r>
            <w:r w:rsidRPr="00AD0069">
              <w:rPr>
                <w:b/>
                <w:noProof/>
                <w:sz w:val="16"/>
                <w:szCs w:val="16"/>
              </w:rPr>
              <w:fldChar w:fldCharType="end"/>
            </w:r>
            <w:r w:rsidRPr="00AD0069">
              <w:rPr>
                <w:b/>
                <w:noProof/>
                <w:sz w:val="16"/>
                <w:szCs w:val="16"/>
              </w:rPr>
              <w:instrText xml:space="preserve">="" "" "En réponse à votre courrier  : </w:instrText>
            </w:r>
            <w:r w:rsidRPr="00AD0069">
              <w:rPr>
                <w:b/>
                <w:noProof/>
                <w:sz w:val="16"/>
                <w:szCs w:val="16"/>
              </w:rPr>
              <w:fldChar w:fldCharType="begin"/>
            </w:r>
            <w:r w:rsidRPr="00AD0069">
              <w:rPr>
                <w:b/>
                <w:noProof/>
                <w:sz w:val="16"/>
                <w:szCs w:val="16"/>
              </w:rPr>
              <w:instrText xml:space="preserve"> DOCPROPERTY  _EL_CHRONO_COURRIER_ARRIVE  \* MERGEFORMAT </w:instrText>
            </w:r>
            <w:r w:rsidRPr="00AD0069">
              <w:rPr>
                <w:b/>
                <w:noProof/>
                <w:sz w:val="16"/>
                <w:szCs w:val="16"/>
              </w:rPr>
              <w:fldChar w:fldCharType="separate"/>
            </w:r>
            <w:r w:rsidR="00250275">
              <w:rPr>
                <w:b/>
                <w:noProof/>
                <w:sz w:val="16"/>
                <w:szCs w:val="16"/>
              </w:rPr>
              <w:instrText>Chrono arrivé</w:instrText>
            </w:r>
            <w:r w:rsidRPr="00AD0069">
              <w:rPr>
                <w:b/>
                <w:noProof/>
                <w:sz w:val="16"/>
                <w:szCs w:val="16"/>
              </w:rPr>
              <w:fldChar w:fldCharType="end"/>
            </w:r>
            <w:r w:rsidRPr="00AD0069">
              <w:rPr>
                <w:b/>
                <w:noProof/>
                <w:sz w:val="16"/>
                <w:szCs w:val="16"/>
              </w:rPr>
              <w:instrText xml:space="preserve">  </w:instrText>
            </w:r>
            <w:r w:rsidRPr="00AD0069">
              <w:rPr>
                <w:b/>
                <w:noProof/>
                <w:sz w:val="16"/>
                <w:szCs w:val="16"/>
              </w:rPr>
              <w:fldChar w:fldCharType="begin"/>
            </w:r>
            <w:r w:rsidRPr="00AD0069">
              <w:rPr>
                <w:b/>
                <w:noProof/>
                <w:sz w:val="16"/>
                <w:szCs w:val="16"/>
              </w:rPr>
              <w:instrText xml:space="preserve"> DOCPROPERTY  _EL_REFERENCE_COURRIER_ARRIVE  \* MERGEFORMAT </w:instrText>
            </w:r>
            <w:r w:rsidRPr="00AD0069">
              <w:rPr>
                <w:b/>
                <w:noProof/>
                <w:sz w:val="16"/>
                <w:szCs w:val="16"/>
              </w:rPr>
              <w:fldChar w:fldCharType="separate"/>
            </w:r>
            <w:r w:rsidR="00250275">
              <w:rPr>
                <w:b/>
                <w:noProof/>
                <w:sz w:val="16"/>
                <w:szCs w:val="16"/>
              </w:rPr>
              <w:instrText>ref arrivé</w:instrText>
            </w:r>
            <w:r w:rsidRPr="00AD0069">
              <w:rPr>
                <w:b/>
                <w:noProof/>
                <w:sz w:val="16"/>
                <w:szCs w:val="16"/>
              </w:rPr>
              <w:fldChar w:fldCharType="end"/>
            </w:r>
            <w:r w:rsidRPr="00AD0069">
              <w:rPr>
                <w:b/>
                <w:noProof/>
                <w:sz w:val="16"/>
                <w:szCs w:val="16"/>
              </w:rPr>
              <w:instrText xml:space="preserve"> du </w:instrText>
            </w:r>
            <w:r w:rsidRPr="00AD0069">
              <w:rPr>
                <w:b/>
                <w:noProof/>
                <w:sz w:val="16"/>
                <w:szCs w:val="16"/>
              </w:rPr>
              <w:fldChar w:fldCharType="begin"/>
            </w:r>
            <w:r w:rsidRPr="00AD0069">
              <w:rPr>
                <w:b/>
                <w:noProof/>
                <w:sz w:val="16"/>
                <w:szCs w:val="16"/>
              </w:rPr>
              <w:instrText xml:space="preserve"> DOCPROPERTY  _EL_DATE_COURRIER_ARRIVE  \* MERGEFORMAT </w:instrText>
            </w:r>
            <w:r w:rsidRPr="00AD0069">
              <w:rPr>
                <w:b/>
                <w:noProof/>
                <w:sz w:val="16"/>
                <w:szCs w:val="16"/>
              </w:rPr>
              <w:fldChar w:fldCharType="separate"/>
            </w:r>
            <w:r w:rsidR="00250275">
              <w:rPr>
                <w:b/>
                <w:noProof/>
                <w:sz w:val="16"/>
                <w:szCs w:val="16"/>
              </w:rPr>
              <w:instrText>1/9/2011</w:instrText>
            </w:r>
            <w:r w:rsidRPr="00AD0069">
              <w:rPr>
                <w:b/>
                <w:noProof/>
                <w:sz w:val="16"/>
                <w:szCs w:val="16"/>
              </w:rPr>
              <w:fldChar w:fldCharType="end"/>
            </w:r>
            <w:r w:rsidRPr="00AD0069">
              <w:rPr>
                <w:b/>
                <w:noProof/>
                <w:sz w:val="16"/>
                <w:szCs w:val="16"/>
              </w:rPr>
              <w:instrText xml:space="preserve">"  \* MERGEFORMAT </w:instrText>
            </w:r>
            <w:r w:rsidRPr="00AD0069">
              <w:rPr>
                <w:b/>
                <w:noProof/>
                <w:sz w:val="16"/>
                <w:szCs w:val="16"/>
              </w:rPr>
              <w:fldChar w:fldCharType="end"/>
            </w:r>
          </w:p>
          <w:p w14:paraId="1EE9DACD" w14:textId="77777777" w:rsidR="00551EB2" w:rsidRPr="00AD0069" w:rsidRDefault="00551EB2" w:rsidP="00E07727">
            <w:pPr>
              <w:rPr>
                <w:noProof/>
                <w:sz w:val="16"/>
                <w:szCs w:val="16"/>
              </w:rPr>
            </w:pPr>
          </w:p>
          <w:p w14:paraId="0C7BB0FC" w14:textId="77777777" w:rsidR="00551EB2" w:rsidRPr="00AD0069" w:rsidRDefault="00551EB2" w:rsidP="00E07727">
            <w:pPr>
              <w:rPr>
                <w:b/>
                <w:noProof/>
                <w:sz w:val="16"/>
                <w:szCs w:val="16"/>
              </w:rPr>
            </w:pPr>
          </w:p>
          <w:p w14:paraId="0041641B" w14:textId="28C96193" w:rsidR="00551EB2" w:rsidRPr="00AD0069" w:rsidRDefault="00551EB2" w:rsidP="00E07727">
            <w:pPr>
              <w:rPr>
                <w:b/>
                <w:noProof/>
                <w:sz w:val="16"/>
                <w:szCs w:val="16"/>
              </w:rPr>
            </w:pPr>
            <w:r w:rsidRPr="00AD0069">
              <w:rPr>
                <w:b/>
                <w:noProof/>
                <w:sz w:val="16"/>
                <w:szCs w:val="16"/>
              </w:rPr>
              <w:t xml:space="preserve">Date : </w:t>
            </w:r>
            <w:r w:rsidRPr="00AD0069">
              <w:rPr>
                <w:b/>
                <w:noProof/>
                <w:sz w:val="16"/>
                <w:szCs w:val="16"/>
              </w:rPr>
              <w:fldChar w:fldCharType="begin"/>
            </w:r>
            <w:r w:rsidRPr="00AD0069">
              <w:rPr>
                <w:b/>
                <w:noProof/>
                <w:sz w:val="16"/>
                <w:szCs w:val="16"/>
              </w:rPr>
              <w:instrText xml:space="preserve"> DOCPROPERTY  _EL_DATE_COURRIER  \* MERGEFORMAT </w:instrText>
            </w:r>
            <w:r w:rsidRPr="00AD0069">
              <w:rPr>
                <w:b/>
                <w:noProof/>
                <w:sz w:val="16"/>
                <w:szCs w:val="16"/>
              </w:rPr>
              <w:fldChar w:fldCharType="separate"/>
            </w:r>
            <w:r w:rsidR="009B2721">
              <w:rPr>
                <w:b/>
                <w:noProof/>
                <w:sz w:val="16"/>
                <w:szCs w:val="16"/>
              </w:rPr>
              <w:t xml:space="preserve">15 </w:t>
            </w:r>
            <w:r w:rsidR="001B193C">
              <w:rPr>
                <w:b/>
                <w:noProof/>
                <w:sz w:val="16"/>
                <w:szCs w:val="16"/>
              </w:rPr>
              <w:t>mars</w:t>
            </w:r>
            <w:r w:rsidR="00274943">
              <w:rPr>
                <w:b/>
                <w:noProof/>
                <w:sz w:val="16"/>
                <w:szCs w:val="16"/>
              </w:rPr>
              <w:t xml:space="preserve"> 2020</w:t>
            </w:r>
            <w:r w:rsidRPr="00AD0069">
              <w:rPr>
                <w:b/>
                <w:noProof/>
                <w:sz w:val="16"/>
                <w:szCs w:val="16"/>
              </w:rPr>
              <w:fldChar w:fldCharType="end"/>
            </w:r>
          </w:p>
          <w:p w14:paraId="67AA07E5" w14:textId="77777777" w:rsidR="00551EB2" w:rsidRPr="00AD0069" w:rsidRDefault="00551EB2" w:rsidP="00E07727">
            <w:pPr>
              <w:rPr>
                <w:b/>
                <w:noProof/>
                <w:sz w:val="12"/>
                <w:szCs w:val="12"/>
              </w:rPr>
            </w:pPr>
          </w:p>
          <w:p w14:paraId="00FDBCDB" w14:textId="76AD1C00" w:rsidR="00551EB2" w:rsidRPr="00AD0069" w:rsidRDefault="00551EB2" w:rsidP="00E07727">
            <w:pPr>
              <w:rPr>
                <w:b/>
                <w:noProof/>
                <w:sz w:val="16"/>
                <w:szCs w:val="16"/>
              </w:rPr>
            </w:pPr>
            <w:r w:rsidRPr="00AD0069">
              <w:rPr>
                <w:b/>
                <w:noProof/>
                <w:sz w:val="16"/>
                <w:szCs w:val="16"/>
              </w:rPr>
              <w:t xml:space="preserve">Objet : </w:t>
            </w:r>
            <w:r w:rsidR="001B193C">
              <w:rPr>
                <w:b/>
                <w:noProof/>
                <w:sz w:val="16"/>
                <w:szCs w:val="16"/>
              </w:rPr>
              <w:t xml:space="preserve">COVID 19 </w:t>
            </w:r>
            <w:r w:rsidR="009B2721">
              <w:rPr>
                <w:b/>
                <w:noProof/>
                <w:sz w:val="16"/>
                <w:szCs w:val="16"/>
              </w:rPr>
              <w:t>– Informations à destination</w:t>
            </w:r>
            <w:r w:rsidR="001B193C">
              <w:rPr>
                <w:b/>
                <w:noProof/>
                <w:sz w:val="16"/>
                <w:szCs w:val="16"/>
              </w:rPr>
              <w:t xml:space="preserve"> des </w:t>
            </w:r>
            <w:r w:rsidR="00CD0A51">
              <w:rPr>
                <w:b/>
                <w:noProof/>
                <w:sz w:val="16"/>
                <w:szCs w:val="16"/>
              </w:rPr>
              <w:t>représentants des structures d’exercice coordonnées et des maisons médicales de garde</w:t>
            </w:r>
            <w:bookmarkStart w:id="0" w:name="_GoBack"/>
            <w:bookmarkEnd w:id="0"/>
            <w:r w:rsidRPr="00AD0069">
              <w:rPr>
                <w:noProof/>
                <w:sz w:val="16"/>
                <w:szCs w:val="16"/>
              </w:rPr>
              <w:fldChar w:fldCharType="begin"/>
            </w:r>
            <w:r w:rsidRPr="00AD0069">
              <w:rPr>
                <w:noProof/>
                <w:sz w:val="16"/>
                <w:szCs w:val="16"/>
              </w:rPr>
              <w:instrText xml:space="preserve"> SUBJECT   \* MERGEFORMAT </w:instrText>
            </w:r>
            <w:r w:rsidRPr="00AD0069">
              <w:rPr>
                <w:noProof/>
                <w:sz w:val="16"/>
                <w:szCs w:val="16"/>
              </w:rPr>
              <w:fldChar w:fldCharType="end"/>
            </w:r>
            <w:r w:rsidRPr="00AD0069">
              <w:rPr>
                <w:noProof/>
                <w:sz w:val="16"/>
                <w:szCs w:val="16"/>
              </w:rPr>
              <w:fldChar w:fldCharType="begin"/>
            </w:r>
            <w:r w:rsidRPr="00AD0069">
              <w:rPr>
                <w:noProof/>
                <w:sz w:val="16"/>
                <w:szCs w:val="16"/>
              </w:rPr>
              <w:instrText xml:space="preserve"> SUBJECT  \* FirstCap  \* MERGEFORMAT </w:instrText>
            </w:r>
            <w:r w:rsidRPr="00AD0069">
              <w:rPr>
                <w:noProof/>
                <w:sz w:val="16"/>
                <w:szCs w:val="16"/>
              </w:rPr>
              <w:fldChar w:fldCharType="end"/>
            </w:r>
          </w:p>
          <w:p w14:paraId="2142C533" w14:textId="77777777" w:rsidR="00551EB2" w:rsidRPr="00AD0069" w:rsidRDefault="00551EB2" w:rsidP="004D3053">
            <w:pPr>
              <w:rPr>
                <w:b/>
                <w:noProof/>
                <w:sz w:val="16"/>
                <w:szCs w:val="16"/>
              </w:rPr>
            </w:pPr>
          </w:p>
        </w:tc>
        <w:tc>
          <w:tcPr>
            <w:tcW w:w="851" w:type="dxa"/>
            <w:vMerge w:val="restart"/>
          </w:tcPr>
          <w:p w14:paraId="1993EC61" w14:textId="77777777" w:rsidR="00551EB2" w:rsidRPr="00AD0069" w:rsidRDefault="00551EB2" w:rsidP="004D3053">
            <w:pPr>
              <w:rPr>
                <w:b/>
                <w:noProof/>
                <w:sz w:val="16"/>
                <w:szCs w:val="16"/>
              </w:rPr>
            </w:pPr>
          </w:p>
        </w:tc>
        <w:tc>
          <w:tcPr>
            <w:tcW w:w="3969" w:type="dxa"/>
            <w:tcBorders>
              <w:bottom w:val="dotted" w:sz="4" w:space="0" w:color="auto"/>
            </w:tcBorders>
          </w:tcPr>
          <w:p w14:paraId="5AE002B7" w14:textId="77777777" w:rsidR="00551EB2" w:rsidRPr="00AD0069" w:rsidRDefault="00551EB2" w:rsidP="00551EB2">
            <w:pPr>
              <w:rPr>
                <w:b/>
                <w:noProof/>
                <w:sz w:val="16"/>
                <w:szCs w:val="16"/>
              </w:rPr>
            </w:pPr>
          </w:p>
        </w:tc>
      </w:tr>
      <w:tr w:rsidR="00551EB2" w:rsidRPr="00AD0069" w14:paraId="264CCD31" w14:textId="77777777" w:rsidTr="001500CB">
        <w:trPr>
          <w:trHeight w:val="3216"/>
        </w:trPr>
        <w:tc>
          <w:tcPr>
            <w:tcW w:w="4786" w:type="dxa"/>
            <w:vMerge/>
          </w:tcPr>
          <w:p w14:paraId="2F8F27ED" w14:textId="77777777" w:rsidR="00551EB2" w:rsidRPr="00AD0069" w:rsidRDefault="00551EB2" w:rsidP="00E07727">
            <w:pPr>
              <w:rPr>
                <w:b/>
                <w:noProof/>
                <w:sz w:val="16"/>
                <w:szCs w:val="16"/>
              </w:rPr>
            </w:pPr>
          </w:p>
        </w:tc>
        <w:tc>
          <w:tcPr>
            <w:tcW w:w="851" w:type="dxa"/>
            <w:vMerge/>
            <w:tcBorders>
              <w:right w:val="dotted" w:sz="4" w:space="0" w:color="auto"/>
            </w:tcBorders>
          </w:tcPr>
          <w:p w14:paraId="21FB724F" w14:textId="77777777" w:rsidR="00551EB2" w:rsidRPr="00AD0069" w:rsidRDefault="00551EB2" w:rsidP="004D3053">
            <w:pPr>
              <w:rPr>
                <w:b/>
                <w:noProof/>
                <w:sz w:val="16"/>
                <w:szCs w:val="16"/>
              </w:rPr>
            </w:pPr>
          </w:p>
        </w:tc>
        <w:tc>
          <w:tcPr>
            <w:tcW w:w="3969" w:type="dxa"/>
            <w:tcBorders>
              <w:top w:val="dotted" w:sz="4" w:space="0" w:color="auto"/>
              <w:left w:val="dotted" w:sz="4" w:space="0" w:color="auto"/>
              <w:bottom w:val="dotted" w:sz="4" w:space="0" w:color="auto"/>
              <w:right w:val="dotted" w:sz="4" w:space="0" w:color="auto"/>
            </w:tcBorders>
          </w:tcPr>
          <w:p w14:paraId="465D17EA" w14:textId="77777777" w:rsidR="001500CB" w:rsidRDefault="001500CB" w:rsidP="001500CB">
            <w:pPr>
              <w:rPr>
                <w:b/>
                <w:sz w:val="18"/>
                <w:szCs w:val="18"/>
              </w:rPr>
            </w:pPr>
          </w:p>
          <w:p w14:paraId="7C6B5654" w14:textId="77777777" w:rsidR="00274943" w:rsidRDefault="00274943" w:rsidP="001500CB">
            <w:pPr>
              <w:rPr>
                <w:b/>
                <w:sz w:val="18"/>
                <w:szCs w:val="18"/>
              </w:rPr>
            </w:pPr>
          </w:p>
          <w:p w14:paraId="57099959" w14:textId="77777777" w:rsidR="00551EB2" w:rsidRPr="00AD0069" w:rsidRDefault="00551EB2" w:rsidP="004D3053">
            <w:pPr>
              <w:rPr>
                <w:b/>
                <w:noProof/>
                <w:sz w:val="16"/>
                <w:szCs w:val="16"/>
              </w:rPr>
            </w:pPr>
          </w:p>
        </w:tc>
      </w:tr>
      <w:tr w:rsidR="00551EB2" w:rsidRPr="00AD0069" w14:paraId="6910001A" w14:textId="77777777" w:rsidTr="00AD0069">
        <w:trPr>
          <w:trHeight w:val="1320"/>
        </w:trPr>
        <w:tc>
          <w:tcPr>
            <w:tcW w:w="4786" w:type="dxa"/>
            <w:vMerge/>
          </w:tcPr>
          <w:p w14:paraId="6B688CD1" w14:textId="77777777" w:rsidR="00551EB2" w:rsidRPr="00AD0069" w:rsidRDefault="00551EB2" w:rsidP="00E07727">
            <w:pPr>
              <w:rPr>
                <w:b/>
                <w:noProof/>
                <w:sz w:val="16"/>
                <w:szCs w:val="16"/>
              </w:rPr>
            </w:pPr>
          </w:p>
        </w:tc>
        <w:tc>
          <w:tcPr>
            <w:tcW w:w="851" w:type="dxa"/>
            <w:vMerge/>
          </w:tcPr>
          <w:p w14:paraId="24EF1AB9" w14:textId="77777777" w:rsidR="00551EB2" w:rsidRPr="00AD0069" w:rsidRDefault="00551EB2" w:rsidP="004D3053">
            <w:pPr>
              <w:rPr>
                <w:b/>
                <w:noProof/>
                <w:sz w:val="16"/>
                <w:szCs w:val="16"/>
              </w:rPr>
            </w:pPr>
          </w:p>
        </w:tc>
        <w:tc>
          <w:tcPr>
            <w:tcW w:w="3969" w:type="dxa"/>
            <w:tcBorders>
              <w:top w:val="dotted" w:sz="4" w:space="0" w:color="auto"/>
            </w:tcBorders>
          </w:tcPr>
          <w:p w14:paraId="03E0FB29" w14:textId="77777777" w:rsidR="00551EB2" w:rsidRPr="00AD0069" w:rsidRDefault="00551EB2" w:rsidP="004D3053">
            <w:pPr>
              <w:rPr>
                <w:b/>
                <w:noProof/>
                <w:sz w:val="16"/>
                <w:szCs w:val="16"/>
              </w:rPr>
            </w:pPr>
          </w:p>
        </w:tc>
      </w:tr>
    </w:tbl>
    <w:p w14:paraId="2F080639" w14:textId="43F0FEDC" w:rsidR="0082670A" w:rsidRDefault="0082670A" w:rsidP="009B2721">
      <w:pPr>
        <w:jc w:val="both"/>
      </w:pPr>
      <w:r>
        <w:t xml:space="preserve">Madame, Monsieur, Docteur, </w:t>
      </w:r>
    </w:p>
    <w:p w14:paraId="61E3891A" w14:textId="77777777" w:rsidR="0082670A" w:rsidRDefault="0082670A" w:rsidP="009B2721">
      <w:pPr>
        <w:jc w:val="both"/>
      </w:pPr>
    </w:p>
    <w:p w14:paraId="3E3E409D" w14:textId="5071AC59" w:rsidR="001B193C" w:rsidRDefault="009B2721" w:rsidP="009B2721">
      <w:pPr>
        <w:jc w:val="both"/>
      </w:pPr>
      <w:r>
        <w:t xml:space="preserve">Nous sommes à présent en phase épidémique qui correspond à une circulation active du virus sur le territoire. </w:t>
      </w:r>
    </w:p>
    <w:p w14:paraId="33EDB4A4" w14:textId="2DA199E1" w:rsidR="009B2721" w:rsidRDefault="009B2721" w:rsidP="009B2721">
      <w:pPr>
        <w:jc w:val="both"/>
      </w:pPr>
    </w:p>
    <w:p w14:paraId="2B990636" w14:textId="2BC525E0" w:rsidR="009B2721" w:rsidRDefault="009B2721" w:rsidP="009B2721">
      <w:pPr>
        <w:jc w:val="both"/>
      </w:pPr>
      <w:r>
        <w:t xml:space="preserve">L’Agence Régionale de Santé </w:t>
      </w:r>
      <w:r w:rsidR="0082670A">
        <w:t xml:space="preserve">Provence Alpes Côte d’Azur </w:t>
      </w:r>
      <w:r>
        <w:t xml:space="preserve">souhaite vous informer sur différents aspects de l’organisation de la réponse </w:t>
      </w:r>
      <w:r w:rsidR="007D6E65">
        <w:t>du système de santé en phase épidémique</w:t>
      </w:r>
      <w:r>
        <w:t>. Des mesures complémentaires vous seront transmises au cours de la semaine.</w:t>
      </w:r>
    </w:p>
    <w:p w14:paraId="75C333DE" w14:textId="77777777" w:rsidR="002550B2" w:rsidRDefault="002550B2" w:rsidP="001B193C"/>
    <w:p w14:paraId="7541903D" w14:textId="0D8DEBAD" w:rsidR="001B193C" w:rsidRPr="008B1AAD" w:rsidRDefault="001B193C" w:rsidP="008B1AAD">
      <w:pPr>
        <w:pStyle w:val="Paragraphedeliste"/>
        <w:numPr>
          <w:ilvl w:val="0"/>
          <w:numId w:val="33"/>
        </w:numPr>
        <w:rPr>
          <w:b/>
        </w:rPr>
      </w:pPr>
      <w:r w:rsidRPr="008B1AAD">
        <w:rPr>
          <w:b/>
        </w:rPr>
        <w:t>Des mesures d’adaptation de l’implication de la médecine de ville dans la réponse à la crise sanitaire</w:t>
      </w:r>
    </w:p>
    <w:p w14:paraId="6F475FC1" w14:textId="77777777" w:rsidR="001B193C" w:rsidRDefault="001B193C" w:rsidP="001B193C">
      <w:pPr>
        <w:ind w:left="720"/>
      </w:pPr>
    </w:p>
    <w:p w14:paraId="01D5F8E0" w14:textId="378ECEBD" w:rsidR="008B1AAD" w:rsidRDefault="008B1AAD" w:rsidP="008B1AAD">
      <w:pPr>
        <w:jc w:val="both"/>
      </w:pPr>
      <w:r>
        <w:t>En phase épidémique, le principe général vise à assurer la prise en charge des patients non graves à domicile, afin de ne pas saturer les établissements de santé. Les patients seront ainsi invités, en cas de symptômes évocateurs du COVID-19, à contacter leur médecin traitant, sauf en cas de signe de gravité où la recommandation rest</w:t>
      </w:r>
      <w:r w:rsidR="0082670A">
        <w:t>era d’appeler le SAMU Centre 15.</w:t>
      </w:r>
    </w:p>
    <w:p w14:paraId="5140A1DF" w14:textId="77777777" w:rsidR="0082670A" w:rsidRDefault="0082670A" w:rsidP="008B1AAD">
      <w:pPr>
        <w:jc w:val="both"/>
      </w:pPr>
    </w:p>
    <w:p w14:paraId="08B9682B" w14:textId="77777777" w:rsidR="008B1AAD" w:rsidRDefault="008B1AAD" w:rsidP="008B1AAD">
      <w:pPr>
        <w:jc w:val="both"/>
      </w:pPr>
      <w:r>
        <w:t>La stratégie d’atténuation de la circulation active du virus dans la communauté repose sur 3 axes majeurs :</w:t>
      </w:r>
    </w:p>
    <w:p w14:paraId="4BDDF557" w14:textId="77777777" w:rsidR="008B1AAD" w:rsidRDefault="008B1AAD" w:rsidP="008B1AAD">
      <w:pPr>
        <w:pStyle w:val="Paragraphedeliste"/>
        <w:numPr>
          <w:ilvl w:val="0"/>
          <w:numId w:val="29"/>
        </w:numPr>
        <w:spacing w:line="276" w:lineRule="auto"/>
        <w:contextualSpacing/>
        <w:jc w:val="both"/>
      </w:pPr>
      <w:r>
        <w:t>Prise en charge des formes sévères et graves dans les établissements de santé</w:t>
      </w:r>
    </w:p>
    <w:p w14:paraId="1D19F286" w14:textId="77777777" w:rsidR="008B1AAD" w:rsidRDefault="008B1AAD" w:rsidP="008B1AAD">
      <w:pPr>
        <w:pStyle w:val="Paragraphedeliste"/>
        <w:numPr>
          <w:ilvl w:val="0"/>
          <w:numId w:val="29"/>
        </w:numPr>
        <w:spacing w:line="276" w:lineRule="auto"/>
        <w:contextualSpacing/>
        <w:jc w:val="both"/>
      </w:pPr>
      <w:r>
        <w:t>Prise en charge des formes modérées en médecine de ville</w:t>
      </w:r>
    </w:p>
    <w:p w14:paraId="0779C6C4" w14:textId="77777777" w:rsidR="008B1AAD" w:rsidRDefault="008B1AAD" w:rsidP="008B1AAD">
      <w:pPr>
        <w:pStyle w:val="Paragraphedeliste"/>
        <w:numPr>
          <w:ilvl w:val="0"/>
          <w:numId w:val="29"/>
        </w:numPr>
        <w:spacing w:line="276" w:lineRule="auto"/>
        <w:contextualSpacing/>
        <w:jc w:val="both"/>
      </w:pPr>
      <w:r>
        <w:t xml:space="preserve">Préservation des personnes fragiles (personnes âgées, personnes handicapées </w:t>
      </w:r>
      <w:proofErr w:type="spellStart"/>
      <w:r>
        <w:t>polypathologiques</w:t>
      </w:r>
      <w:proofErr w:type="spellEnd"/>
      <w:r>
        <w:t>,… au sein des établissements médico-sociaux</w:t>
      </w:r>
    </w:p>
    <w:p w14:paraId="65CAF6A3" w14:textId="77777777" w:rsidR="008B1AAD" w:rsidRPr="00EF3A1F" w:rsidRDefault="008B1AAD" w:rsidP="008B1AAD">
      <w:pPr>
        <w:pStyle w:val="Paragraphedeliste"/>
        <w:spacing w:line="276" w:lineRule="auto"/>
        <w:ind w:left="1068"/>
        <w:contextualSpacing/>
        <w:jc w:val="both"/>
      </w:pPr>
    </w:p>
    <w:p w14:paraId="3664B637" w14:textId="77777777" w:rsidR="008B1AAD" w:rsidRDefault="008B1AAD" w:rsidP="008B1AAD">
      <w:pPr>
        <w:jc w:val="both"/>
        <w:rPr>
          <w:b/>
        </w:rPr>
      </w:pPr>
      <w:r>
        <w:rPr>
          <w:b/>
        </w:rPr>
        <w:t>Organisation de la prise en charge épidémique en ville</w:t>
      </w:r>
    </w:p>
    <w:p w14:paraId="692433D3" w14:textId="4D8FCAA9" w:rsidR="008B1AAD" w:rsidRDefault="008B1AAD" w:rsidP="008B1AAD">
      <w:pPr>
        <w:jc w:val="both"/>
      </w:pPr>
      <w:r>
        <w:t>En phase épidémique, les patients présen</w:t>
      </w:r>
      <w:r w:rsidR="0082670A">
        <w:t>tant une forme simple ou modérée</w:t>
      </w:r>
      <w:r>
        <w:t xml:space="preserve"> seront pris en charge en ville, en utilisant les ressources médicales et paramédicales du territoire, et en mobilisant l’ensemble des acteurs. Cette prise en charge ambulatoire a vocation à être organisée par les professionnels de santé habituels. </w:t>
      </w:r>
    </w:p>
    <w:p w14:paraId="2CE5234F" w14:textId="3FD30C99" w:rsidR="008B1AAD" w:rsidRDefault="008B1AAD" w:rsidP="008B1AAD">
      <w:pPr>
        <w:jc w:val="both"/>
      </w:pPr>
      <w:r>
        <w:t>Les professionnels de santé de ville sont mobilisés en 1</w:t>
      </w:r>
      <w:r w:rsidRPr="0082670A">
        <w:rPr>
          <w:vertAlign w:val="superscript"/>
        </w:rPr>
        <w:t>ère</w:t>
      </w:r>
      <w:r w:rsidR="0082670A">
        <w:t xml:space="preserve"> </w:t>
      </w:r>
      <w:r>
        <w:t>ligne pour la prise en charge et le suivi des patients COVID-19, 80% des patients ayant vocation à rester à leur domicile.</w:t>
      </w:r>
    </w:p>
    <w:p w14:paraId="3339FDB7" w14:textId="77777777" w:rsidR="008B1AAD" w:rsidRDefault="008B1AAD" w:rsidP="008B1AAD">
      <w:pPr>
        <w:jc w:val="both"/>
      </w:pPr>
    </w:p>
    <w:p w14:paraId="6D8858A0" w14:textId="77777777" w:rsidR="008B1AAD" w:rsidRDefault="008B1AAD" w:rsidP="008B1AAD">
      <w:pPr>
        <w:jc w:val="both"/>
      </w:pPr>
      <w:r>
        <w:t xml:space="preserve">L’ARS Provence Alpes Côte d’Azur et ses partenaires (représentants des professionnels de santé libéraux, assurance maladie, facultés de médecins) ont d’ores et déjà démarré des travaux </w:t>
      </w:r>
      <w:r>
        <w:lastRenderedPageBreak/>
        <w:t>préparatoires au passage en stade épidémique. Ils proposeront, dans le courant de la semaine des recommandations sur des organisations répondant aux enjeux de la crise sanitaire.</w:t>
      </w:r>
    </w:p>
    <w:p w14:paraId="03872154" w14:textId="77777777" w:rsidR="008B1AAD" w:rsidRDefault="008B1AAD" w:rsidP="008B1AAD">
      <w:pPr>
        <w:jc w:val="both"/>
      </w:pPr>
    </w:p>
    <w:p w14:paraId="22BCE48B" w14:textId="77777777" w:rsidR="008B1AAD" w:rsidRDefault="008B1AAD" w:rsidP="008B1AAD">
      <w:pPr>
        <w:jc w:val="both"/>
      </w:pPr>
      <w:r>
        <w:t>D’ores et déjà, l’ARS souhaite vous communiquer les informations suivantes :</w:t>
      </w:r>
    </w:p>
    <w:p w14:paraId="0C92DA4A" w14:textId="77777777" w:rsidR="008B1AAD" w:rsidRDefault="008B1AAD" w:rsidP="008B1AAD">
      <w:pPr>
        <w:spacing w:after="200" w:line="276" w:lineRule="auto"/>
        <w:contextualSpacing/>
        <w:jc w:val="both"/>
        <w:rPr>
          <w:b/>
        </w:rPr>
      </w:pPr>
    </w:p>
    <w:p w14:paraId="43986A0F" w14:textId="77777777" w:rsidR="008B1AAD" w:rsidRPr="008B1AAD" w:rsidRDefault="008B1AAD" w:rsidP="008B1AAD">
      <w:pPr>
        <w:pStyle w:val="Paragraphedeliste"/>
        <w:numPr>
          <w:ilvl w:val="0"/>
          <w:numId w:val="34"/>
        </w:numPr>
        <w:spacing w:after="200" w:line="276" w:lineRule="auto"/>
        <w:contextualSpacing/>
        <w:jc w:val="both"/>
        <w:rPr>
          <w:b/>
        </w:rPr>
      </w:pPr>
      <w:r w:rsidRPr="008B1AAD">
        <w:rPr>
          <w:b/>
        </w:rPr>
        <w:t xml:space="preserve">Stratégie de diagnostic par test biologique </w:t>
      </w:r>
    </w:p>
    <w:p w14:paraId="492998D1" w14:textId="205EA1D1" w:rsidR="008B1AAD" w:rsidRDefault="008B1AAD" w:rsidP="008B1AAD">
      <w:pPr>
        <w:jc w:val="both"/>
      </w:pPr>
      <w:r>
        <w:t>En phase épidémique, les patients présentant des signes de COVID 19 ne sont plus systématiquement classés et confirmés par test biologique. Seul</w:t>
      </w:r>
      <w:r w:rsidR="0082670A">
        <w:t>s</w:t>
      </w:r>
      <w:r>
        <w:t xml:space="preserve"> font l’objet de tests systématiques pour recherche du virus SARS-CoV-2 :</w:t>
      </w:r>
    </w:p>
    <w:p w14:paraId="5BD85BD2" w14:textId="6972A265" w:rsidR="008B1AAD" w:rsidRDefault="008B1AAD" w:rsidP="008B1AAD">
      <w:pPr>
        <w:pStyle w:val="Paragraphedeliste"/>
        <w:numPr>
          <w:ilvl w:val="0"/>
          <w:numId w:val="30"/>
        </w:numPr>
        <w:spacing w:after="200" w:line="276" w:lineRule="auto"/>
        <w:contextualSpacing/>
        <w:jc w:val="both"/>
      </w:pPr>
      <w:r>
        <w:t>Les patients hospitalisés pour un tablea</w:t>
      </w:r>
      <w:r w:rsidR="0082670A">
        <w:t>u</w:t>
      </w:r>
      <w:r>
        <w:t xml:space="preserve"> clinique évocateur du COVID-19 afin de valider le diagnostic et éviter la transmission par des mesures d’hygiène et d’isolement</w:t>
      </w:r>
    </w:p>
    <w:p w14:paraId="16477596" w14:textId="77777777" w:rsidR="008B1AAD" w:rsidRDefault="008B1AAD" w:rsidP="008B1AAD">
      <w:pPr>
        <w:pStyle w:val="Paragraphedeliste"/>
        <w:numPr>
          <w:ilvl w:val="0"/>
          <w:numId w:val="30"/>
        </w:numPr>
        <w:spacing w:after="200" w:line="276" w:lineRule="auto"/>
        <w:contextualSpacing/>
        <w:jc w:val="both"/>
      </w:pPr>
      <w:r>
        <w:t>Les deux premiers patients résidents en EHPAD et en structures collectives hébergeant des personnes vulnérables présentant un tableau clinique évocateur du COVID-19, afin de confirmer un COVID-19 dans un contexte d’infection respiratoire aigüe basse d’allure virale ou bactérienne</w:t>
      </w:r>
    </w:p>
    <w:p w14:paraId="4E76BD5B" w14:textId="77777777" w:rsidR="008B1AAD" w:rsidRDefault="008B1AAD" w:rsidP="008B1AAD">
      <w:pPr>
        <w:pStyle w:val="Paragraphedeliste"/>
        <w:numPr>
          <w:ilvl w:val="0"/>
          <w:numId w:val="30"/>
        </w:numPr>
        <w:spacing w:after="200" w:line="276" w:lineRule="auto"/>
        <w:contextualSpacing/>
        <w:jc w:val="both"/>
      </w:pPr>
      <w:r>
        <w:t>Tous les professionnels de santé dès l’apparition des symptômes évocateurs du COVID 19</w:t>
      </w:r>
    </w:p>
    <w:p w14:paraId="3C4B18F0" w14:textId="77777777" w:rsidR="008B1AAD" w:rsidRDefault="008B1AAD" w:rsidP="008B1AAD">
      <w:pPr>
        <w:pStyle w:val="Paragraphedeliste"/>
        <w:numPr>
          <w:ilvl w:val="0"/>
          <w:numId w:val="30"/>
        </w:numPr>
        <w:spacing w:after="200" w:line="276" w:lineRule="auto"/>
        <w:contextualSpacing/>
        <w:jc w:val="both"/>
      </w:pPr>
      <w:r>
        <w:t>Les personnes à risque de forme grave et présentant des symptômes évocateurs de COVID-19</w:t>
      </w:r>
    </w:p>
    <w:p w14:paraId="2808709A" w14:textId="77777777" w:rsidR="008B1AAD" w:rsidRDefault="008B1AAD" w:rsidP="008B1AAD">
      <w:pPr>
        <w:pStyle w:val="Paragraphedeliste"/>
        <w:numPr>
          <w:ilvl w:val="0"/>
          <w:numId w:val="30"/>
        </w:numPr>
        <w:spacing w:after="200" w:line="276" w:lineRule="auto"/>
        <w:contextualSpacing/>
        <w:jc w:val="both"/>
      </w:pPr>
      <w:r>
        <w:t>Les femmes enceintes symptomatiques, quel que soit le terme de la grossesse</w:t>
      </w:r>
    </w:p>
    <w:p w14:paraId="66D48D5F" w14:textId="77777777" w:rsidR="008B1AAD" w:rsidRDefault="008B1AAD" w:rsidP="008B1AAD">
      <w:pPr>
        <w:pStyle w:val="Paragraphedeliste"/>
        <w:numPr>
          <w:ilvl w:val="0"/>
          <w:numId w:val="30"/>
        </w:numPr>
        <w:spacing w:after="200" w:line="276" w:lineRule="auto"/>
        <w:contextualSpacing/>
        <w:jc w:val="both"/>
      </w:pPr>
      <w:r>
        <w:t>Les donneurs d’organes, tissus ou cellules souches hématopoïétiques.</w:t>
      </w:r>
    </w:p>
    <w:p w14:paraId="03407605" w14:textId="77777777" w:rsidR="008B1AAD" w:rsidRDefault="008B1AAD" w:rsidP="008B1AAD">
      <w:pPr>
        <w:jc w:val="both"/>
      </w:pPr>
      <w:r>
        <w:t>Pour les autres patients, l’examen clinique devient majeur dans l’identification et la bonne orientation des patients.</w:t>
      </w:r>
    </w:p>
    <w:p w14:paraId="52C724C1" w14:textId="77777777" w:rsidR="008B1AAD" w:rsidRDefault="008B1AAD" w:rsidP="008B1AAD">
      <w:pPr>
        <w:jc w:val="both"/>
      </w:pPr>
    </w:p>
    <w:p w14:paraId="5AFC3EA2" w14:textId="77777777" w:rsidR="008B1AAD" w:rsidRPr="008B1AAD" w:rsidRDefault="008B1AAD" w:rsidP="008B1AAD">
      <w:pPr>
        <w:pStyle w:val="Paragraphedeliste"/>
        <w:numPr>
          <w:ilvl w:val="0"/>
          <w:numId w:val="34"/>
        </w:numPr>
        <w:spacing w:after="200" w:line="276" w:lineRule="auto"/>
        <w:contextualSpacing/>
        <w:jc w:val="both"/>
        <w:rPr>
          <w:b/>
        </w:rPr>
      </w:pPr>
      <w:r w:rsidRPr="008B1AAD">
        <w:rPr>
          <w:b/>
        </w:rPr>
        <w:t>Organisation de l’examen clinique, en téléconsultation et en consultation</w:t>
      </w:r>
    </w:p>
    <w:p w14:paraId="19FBBC20" w14:textId="77777777" w:rsidR="008B1AAD" w:rsidRDefault="008B1AAD" w:rsidP="008B1AAD">
      <w:pPr>
        <w:jc w:val="both"/>
      </w:pPr>
      <w:r>
        <w:t>Il peut avoir lieu en consultation présentielle ou en téléconsultation.</w:t>
      </w:r>
    </w:p>
    <w:p w14:paraId="38902742" w14:textId="77777777" w:rsidR="008B1AAD" w:rsidRDefault="008B1AAD" w:rsidP="008B1AAD">
      <w:pPr>
        <w:jc w:val="both"/>
        <w:rPr>
          <w:b/>
        </w:rPr>
      </w:pPr>
    </w:p>
    <w:p w14:paraId="696CD7FC" w14:textId="77777777" w:rsidR="008B1AAD" w:rsidRPr="00904E7A" w:rsidRDefault="008B1AAD" w:rsidP="008B1AAD">
      <w:pPr>
        <w:jc w:val="both"/>
        <w:rPr>
          <w:b/>
        </w:rPr>
      </w:pPr>
      <w:r w:rsidRPr="00904E7A">
        <w:rPr>
          <w:b/>
        </w:rPr>
        <w:t>La téléconsultation</w:t>
      </w:r>
    </w:p>
    <w:p w14:paraId="0D3ED0FE" w14:textId="77777777" w:rsidR="008B1AAD" w:rsidRDefault="008B1AAD" w:rsidP="008B1AAD">
      <w:pPr>
        <w:jc w:val="both"/>
      </w:pPr>
    </w:p>
    <w:p w14:paraId="0FA6DFE0" w14:textId="77777777" w:rsidR="008B1AAD" w:rsidRDefault="008B1AAD" w:rsidP="008B1AAD">
      <w:pPr>
        <w:jc w:val="both"/>
      </w:pPr>
      <w:r>
        <w:t xml:space="preserve">La téléconsultation est une modalité d’organisation permettant de répondre à l’enjeu de limiter les risques de contamination. </w:t>
      </w:r>
    </w:p>
    <w:p w14:paraId="4A7081AD" w14:textId="77777777" w:rsidR="008B1AAD" w:rsidRDefault="008B1AAD" w:rsidP="008B1AAD">
      <w:pPr>
        <w:jc w:val="both"/>
      </w:pPr>
    </w:p>
    <w:p w14:paraId="0FE75B7C" w14:textId="3D1E64C4" w:rsidR="008B1AAD" w:rsidRDefault="008B1AAD" w:rsidP="008B1AAD">
      <w:pPr>
        <w:jc w:val="both"/>
      </w:pPr>
      <w:r>
        <w:t xml:space="preserve">La téléconsultation est dorénavant remboursée par l’assurance maladie, et les </w:t>
      </w:r>
      <w:r w:rsidR="0082670A">
        <w:t>équipements nécessaires à sa</w:t>
      </w:r>
      <w:r>
        <w:t xml:space="preserve"> mise en œuvre </w:t>
      </w:r>
      <w:r w:rsidR="0082670A">
        <w:t>sont les suivant</w:t>
      </w:r>
      <w:r>
        <w:t>s :</w:t>
      </w:r>
    </w:p>
    <w:p w14:paraId="39AD65FC" w14:textId="77777777" w:rsidR="008B1AAD" w:rsidRPr="00904E7A" w:rsidRDefault="008B1AAD" w:rsidP="008B1AAD">
      <w:pPr>
        <w:numPr>
          <w:ilvl w:val="0"/>
          <w:numId w:val="31"/>
        </w:numPr>
        <w:jc w:val="both"/>
      </w:pPr>
      <w:r>
        <w:t>Utiliser une s</w:t>
      </w:r>
      <w:r w:rsidRPr="00904E7A">
        <w:rPr>
          <w:rFonts w:eastAsiaTheme="minorEastAsia"/>
        </w:rPr>
        <w:t>olution de vidéotransmission sécurisée</w:t>
      </w:r>
    </w:p>
    <w:p w14:paraId="4C2E4864" w14:textId="77777777" w:rsidR="008B1AAD" w:rsidRPr="00904E7A" w:rsidRDefault="008B1AAD" w:rsidP="008B1AAD">
      <w:pPr>
        <w:numPr>
          <w:ilvl w:val="0"/>
          <w:numId w:val="31"/>
        </w:numPr>
        <w:jc w:val="both"/>
      </w:pPr>
      <w:r>
        <w:t>Utiliser une m</w:t>
      </w:r>
      <w:r w:rsidRPr="00904E7A">
        <w:rPr>
          <w:rFonts w:eastAsiaTheme="minorEastAsia"/>
        </w:rPr>
        <w:t>essagerie sécurisée pour l’échange de données</w:t>
      </w:r>
    </w:p>
    <w:p w14:paraId="269C07FC" w14:textId="77777777" w:rsidR="008B1AAD" w:rsidRDefault="008B1AAD" w:rsidP="008B1AAD">
      <w:pPr>
        <w:jc w:val="both"/>
      </w:pPr>
      <w:r w:rsidRPr="00904E7A">
        <w:rPr>
          <w:rFonts w:eastAsiaTheme="minorEastAsia"/>
        </w:rPr>
        <w:t>Le médecin a le c</w:t>
      </w:r>
      <w:r>
        <w:t xml:space="preserve">hoix de l’équipement mais doit </w:t>
      </w:r>
      <w:r w:rsidRPr="00904E7A">
        <w:rPr>
          <w:rFonts w:eastAsiaTheme="minorEastAsia"/>
        </w:rPr>
        <w:t>vérifier les deux conditions précédentes</w:t>
      </w:r>
    </w:p>
    <w:p w14:paraId="592BB093" w14:textId="77777777" w:rsidR="008B1AAD" w:rsidRDefault="008B1AAD" w:rsidP="008B1AAD">
      <w:pPr>
        <w:jc w:val="both"/>
      </w:pPr>
    </w:p>
    <w:p w14:paraId="4AEB185A" w14:textId="7824869D" w:rsidR="008B1AAD" w:rsidRDefault="008B1AAD" w:rsidP="008B1AAD">
      <w:pPr>
        <w:jc w:val="both"/>
      </w:pPr>
      <w:r>
        <w:t>La téléconsultation est un cadre pertinent pour réaliser des primo-consultations de patients potentiellement COVID-19. Toutefois, dans certaines situations, elle pourra être insuffisante pour poser l’ensemble du diagnostic et les conditions de prise en</w:t>
      </w:r>
      <w:r w:rsidR="0082670A">
        <w:t xml:space="preserve"> charge associées et devra donc</w:t>
      </w:r>
      <w:r>
        <w:t xml:space="preserve"> être prolongée par une consultation présentielle. </w:t>
      </w:r>
    </w:p>
    <w:p w14:paraId="7C21D25D" w14:textId="77777777" w:rsidR="008B1AAD" w:rsidRDefault="008B1AAD" w:rsidP="008B1AAD">
      <w:pPr>
        <w:spacing w:after="200" w:line="276" w:lineRule="auto"/>
        <w:jc w:val="both"/>
        <w:rPr>
          <w:b/>
        </w:rPr>
      </w:pPr>
    </w:p>
    <w:p w14:paraId="38120B50" w14:textId="77777777" w:rsidR="008B1AAD" w:rsidRPr="00904E7A" w:rsidRDefault="008B1AAD" w:rsidP="008B1AAD">
      <w:pPr>
        <w:spacing w:after="200" w:line="276" w:lineRule="auto"/>
        <w:jc w:val="both"/>
        <w:rPr>
          <w:b/>
        </w:rPr>
      </w:pPr>
      <w:r w:rsidRPr="00904E7A">
        <w:rPr>
          <w:b/>
        </w:rPr>
        <w:t>La consultation présentielle</w:t>
      </w:r>
    </w:p>
    <w:p w14:paraId="2748D501" w14:textId="77777777" w:rsidR="008B1AAD" w:rsidRDefault="008B1AAD" w:rsidP="008B1AAD">
      <w:pPr>
        <w:jc w:val="both"/>
      </w:pPr>
      <w:r>
        <w:t>De façon générale, il est préconisé aux professionnels de santé d’assurer les consultations COVID-19, suspects ou confirmés, sur rendez-vous ou d’organiser des plages horaires dédiées pour les patients se présentant pour des signes respiratoires ou de fièvre</w:t>
      </w:r>
    </w:p>
    <w:p w14:paraId="30205225" w14:textId="77777777" w:rsidR="008B1AAD" w:rsidRDefault="008B1AAD" w:rsidP="008B1AAD">
      <w:pPr>
        <w:jc w:val="both"/>
      </w:pPr>
      <w:r>
        <w:t>Il convient également de prévoir autant que possible des lieux d’attentes où les personnes suspectes de COVID-19 puissent être isolées. Lorsque cela ne s’avère pas possible, il s’agira de faire attendre les personnes suspectes de COVID-19 à distance des autres patients (au moins 1 mètre)</w:t>
      </w:r>
    </w:p>
    <w:p w14:paraId="3DE454B9" w14:textId="77777777" w:rsidR="008B1AAD" w:rsidRDefault="008B1AAD" w:rsidP="008B1AAD">
      <w:pPr>
        <w:jc w:val="both"/>
      </w:pPr>
    </w:p>
    <w:p w14:paraId="62FC138E" w14:textId="77777777" w:rsidR="008B1AAD" w:rsidRDefault="008B1AAD" w:rsidP="008B1AAD">
      <w:pPr>
        <w:jc w:val="both"/>
      </w:pPr>
      <w:r>
        <w:t xml:space="preserve">Vous trouverez en pièces jointes à ce message des fiches vous proposant un cadre d’organisation de l’accueil des patients et des consultations : </w:t>
      </w:r>
    </w:p>
    <w:p w14:paraId="7B871EAD" w14:textId="7E645973" w:rsidR="008B1AAD" w:rsidRDefault="008B1AAD" w:rsidP="008B1AAD">
      <w:pPr>
        <w:pStyle w:val="Paragraphedeliste"/>
        <w:numPr>
          <w:ilvl w:val="0"/>
          <w:numId w:val="30"/>
        </w:numPr>
        <w:spacing w:after="200" w:line="276" w:lineRule="auto"/>
        <w:contextualSpacing/>
        <w:jc w:val="both"/>
      </w:pPr>
      <w:r>
        <w:t xml:space="preserve">Orientations pour l’organisation des cabinets de ville en phase épidémique </w:t>
      </w:r>
      <w:r w:rsidR="0082670A">
        <w:t xml:space="preserve">- </w:t>
      </w:r>
      <w:r w:rsidR="0082670A" w:rsidRPr="0082670A">
        <w:rPr>
          <w:i/>
        </w:rPr>
        <w:t>annexe 1</w:t>
      </w:r>
    </w:p>
    <w:p w14:paraId="09B0C8DD" w14:textId="1355F488" w:rsidR="008B1AAD" w:rsidRDefault="008B1AAD" w:rsidP="008B1AAD">
      <w:pPr>
        <w:pStyle w:val="Paragraphedeliste"/>
        <w:numPr>
          <w:ilvl w:val="0"/>
          <w:numId w:val="30"/>
        </w:numPr>
        <w:spacing w:after="200" w:line="276" w:lineRule="auto"/>
        <w:contextualSpacing/>
        <w:jc w:val="both"/>
      </w:pPr>
      <w:r>
        <w:lastRenderedPageBreak/>
        <w:t>Lignes directrices de la (télé)consultation et de l’interrogatoire d’un patient « cas possible » présentant une infection respiratoire en médecine générale</w:t>
      </w:r>
      <w:r w:rsidR="0082670A">
        <w:t xml:space="preserve"> </w:t>
      </w:r>
      <w:r>
        <w:t>dans un contexte d’épidémie à COVID-19</w:t>
      </w:r>
      <w:r w:rsidR="0082670A">
        <w:t xml:space="preserve"> - </w:t>
      </w:r>
      <w:r w:rsidR="0082670A" w:rsidRPr="0082670A">
        <w:rPr>
          <w:i/>
        </w:rPr>
        <w:t>annexe 2</w:t>
      </w:r>
    </w:p>
    <w:p w14:paraId="5E167D0E" w14:textId="314F8C83" w:rsidR="008B1AAD" w:rsidRDefault="008B1AAD" w:rsidP="008B1AAD">
      <w:pPr>
        <w:pStyle w:val="Paragraphedeliste"/>
        <w:numPr>
          <w:ilvl w:val="0"/>
          <w:numId w:val="30"/>
        </w:numPr>
        <w:spacing w:after="200" w:line="276" w:lineRule="auto"/>
        <w:contextualSpacing/>
        <w:jc w:val="both"/>
      </w:pPr>
      <w:r>
        <w:t>Questionnaire initial type pour un patient COVID-19 en (télé)consultation pour orientation : aide au diagnostic et à la prise de décision d’orientation (domicile ou hospitalisation)</w:t>
      </w:r>
      <w:r w:rsidR="0082670A">
        <w:t xml:space="preserve"> – </w:t>
      </w:r>
      <w:r w:rsidR="0082670A" w:rsidRPr="0082670A">
        <w:rPr>
          <w:i/>
        </w:rPr>
        <w:t>tableau 1</w:t>
      </w:r>
    </w:p>
    <w:p w14:paraId="1FC879D3" w14:textId="14947719" w:rsidR="008B1AAD" w:rsidRDefault="008B1AAD" w:rsidP="008B1AAD">
      <w:pPr>
        <w:pStyle w:val="Paragraphedeliste"/>
        <w:numPr>
          <w:ilvl w:val="0"/>
          <w:numId w:val="30"/>
        </w:numPr>
        <w:spacing w:after="200" w:line="276" w:lineRule="auto"/>
        <w:contextualSpacing/>
        <w:jc w:val="both"/>
      </w:pPr>
      <w:r>
        <w:t>Lignes directrices de la (télé)consultation et de l’interrogatoire d’un patient »cas possible » présentant une infection respiratoire en médecine générale dans un contexte d’épidémie à COVID-19</w:t>
      </w:r>
      <w:r w:rsidR="0082670A">
        <w:t xml:space="preserve"> – </w:t>
      </w:r>
      <w:r w:rsidR="0082670A" w:rsidRPr="0082670A">
        <w:rPr>
          <w:i/>
        </w:rPr>
        <w:t>tableau 2</w:t>
      </w:r>
    </w:p>
    <w:p w14:paraId="2F6BB075" w14:textId="77777777" w:rsidR="0082670A" w:rsidRDefault="008B1AAD" w:rsidP="0082670A">
      <w:pPr>
        <w:pStyle w:val="Paragraphedeliste"/>
        <w:numPr>
          <w:ilvl w:val="0"/>
          <w:numId w:val="30"/>
        </w:numPr>
        <w:spacing w:line="276" w:lineRule="auto"/>
        <w:contextualSpacing/>
        <w:jc w:val="both"/>
      </w:pPr>
      <w:r>
        <w:t xml:space="preserve">Affiche : Que faire face aux premiers signes ? </w:t>
      </w:r>
    </w:p>
    <w:p w14:paraId="1EA9A744" w14:textId="35BCAF7A" w:rsidR="0082670A" w:rsidRDefault="00FC05B7" w:rsidP="0082670A">
      <w:pPr>
        <w:spacing w:after="200" w:line="276" w:lineRule="auto"/>
        <w:contextualSpacing/>
        <w:jc w:val="both"/>
      </w:pPr>
      <w:hyperlink r:id="rId12" w:history="1">
        <w:r w:rsidR="0082670A" w:rsidRPr="00080E3A">
          <w:rPr>
            <w:rStyle w:val="Lienhypertexte"/>
          </w:rPr>
          <w:t>https://solidarites-sante.gouv.fr/IMG/pdf/spf0b001001_coronavirus_signes_benins_400x600_fr_md.pdf</w:t>
        </w:r>
      </w:hyperlink>
      <w:r w:rsidR="008B1AAD">
        <w:t xml:space="preserve"> </w:t>
      </w:r>
    </w:p>
    <w:p w14:paraId="7BE6E9B7" w14:textId="77777777" w:rsidR="0082670A" w:rsidRDefault="008B1AAD" w:rsidP="0082670A">
      <w:pPr>
        <w:pStyle w:val="Paragraphedeliste"/>
        <w:numPr>
          <w:ilvl w:val="0"/>
          <w:numId w:val="30"/>
        </w:numPr>
        <w:spacing w:line="276" w:lineRule="auto"/>
        <w:contextualSpacing/>
        <w:jc w:val="both"/>
      </w:pPr>
      <w:r>
        <w:t xml:space="preserve">Affiche : Que faire si la maladie s’aggrave ? </w:t>
      </w:r>
    </w:p>
    <w:p w14:paraId="4C94BD54" w14:textId="64A10013" w:rsidR="008B1AAD" w:rsidRDefault="00FC05B7" w:rsidP="0082670A">
      <w:pPr>
        <w:spacing w:after="200" w:line="276" w:lineRule="auto"/>
        <w:contextualSpacing/>
        <w:jc w:val="both"/>
      </w:pPr>
      <w:hyperlink r:id="rId13" w:history="1">
        <w:r w:rsidR="008B1AAD" w:rsidRPr="00080E3A">
          <w:rPr>
            <w:rStyle w:val="Lienhypertexte"/>
          </w:rPr>
          <w:t>https://solidarites-sante.gouv.fr/IMG/pdf/spf0b001001_coronavirus_signes_graves_400x600_fr_md.pdf</w:t>
        </w:r>
      </w:hyperlink>
      <w:r w:rsidR="008B1AAD">
        <w:t xml:space="preserve"> </w:t>
      </w:r>
    </w:p>
    <w:p w14:paraId="01303023" w14:textId="77777777" w:rsidR="008B1AAD" w:rsidRDefault="008B1AAD" w:rsidP="008B1AAD">
      <w:pPr>
        <w:pStyle w:val="Paragraphedeliste"/>
        <w:ind w:left="720"/>
        <w:jc w:val="both"/>
      </w:pPr>
    </w:p>
    <w:p w14:paraId="30B3626B" w14:textId="77777777" w:rsidR="008B1AAD" w:rsidRDefault="008B1AAD" w:rsidP="008B1AAD">
      <w:pPr>
        <w:pStyle w:val="Paragraphedeliste"/>
        <w:ind w:left="720"/>
        <w:jc w:val="both"/>
      </w:pPr>
    </w:p>
    <w:p w14:paraId="6CD36315" w14:textId="77777777" w:rsidR="008B1AAD" w:rsidRPr="008B1AAD" w:rsidRDefault="008B1AAD" w:rsidP="008B1AAD">
      <w:pPr>
        <w:pStyle w:val="Paragraphedeliste"/>
        <w:numPr>
          <w:ilvl w:val="0"/>
          <w:numId w:val="35"/>
        </w:numPr>
        <w:spacing w:after="200" w:line="276" w:lineRule="auto"/>
        <w:contextualSpacing/>
        <w:jc w:val="both"/>
        <w:rPr>
          <w:rFonts w:ascii="Gill Sans MT" w:hAnsi="Gill Sans MT"/>
          <w:b/>
          <w:bCs/>
        </w:rPr>
      </w:pPr>
      <w:r w:rsidRPr="008B1AAD">
        <w:rPr>
          <w:rFonts w:ascii="Gill Sans MT" w:hAnsi="Gill Sans MT"/>
          <w:b/>
          <w:bCs/>
        </w:rPr>
        <w:t>Informations sur les masques de protection</w:t>
      </w:r>
    </w:p>
    <w:p w14:paraId="048D1B86" w14:textId="77777777" w:rsidR="008B1AAD" w:rsidRDefault="008B1AAD" w:rsidP="008B1AAD">
      <w:pPr>
        <w:jc w:val="both"/>
      </w:pPr>
      <w:r>
        <w:t>Les consignes pour l’utilisation des masques sont décrites dans le document nommé « Consignes d’utilisation des masques issus du stock Etat par les Professionnels de Santé » :</w:t>
      </w:r>
    </w:p>
    <w:p w14:paraId="34659B5A" w14:textId="77777777" w:rsidR="008B1AAD" w:rsidRDefault="00FC05B7" w:rsidP="008B1AAD">
      <w:pPr>
        <w:jc w:val="both"/>
      </w:pPr>
      <w:hyperlink r:id="rId14" w:history="1">
        <w:r w:rsidR="008B1AAD" w:rsidRPr="001A5597">
          <w:rPr>
            <w:rStyle w:val="Lienhypertexte"/>
          </w:rPr>
          <w:t>https://solidarites-sante.gouv.fr/IMG/pdf/empoi_des_masques.pdf</w:t>
        </w:r>
      </w:hyperlink>
    </w:p>
    <w:p w14:paraId="1EF67FA8" w14:textId="77777777" w:rsidR="008B1AAD" w:rsidRDefault="008B1AAD" w:rsidP="008B1AAD">
      <w:pPr>
        <w:jc w:val="both"/>
      </w:pPr>
    </w:p>
    <w:p w14:paraId="3905A3F6" w14:textId="77777777" w:rsidR="008B1AAD" w:rsidRDefault="008B1AAD" w:rsidP="008B1AAD">
      <w:pPr>
        <w:jc w:val="both"/>
      </w:pPr>
      <w:r w:rsidRPr="008B1AAD">
        <w:t>Une stratégie de gestion et d’utilisation maîtrisée des masques à l’échelle nationale a été mise en place. Elle doit bénéficier prioritairement aux professionnels de santé amenés à prendre en charge des patients Covid-19 en ville, à l’hôpital et en établissement médico-social, accueillant des personnes fragiles, ainsi qu’aux services d’aides à domicile, pour garantir la continuité de l’accompagnement à domicile des personnes âgées et en situation de handicap.</w:t>
      </w:r>
    </w:p>
    <w:p w14:paraId="718C012E" w14:textId="77777777" w:rsidR="008B1AAD" w:rsidRPr="008B1AAD" w:rsidRDefault="008B1AAD" w:rsidP="008B1AAD">
      <w:pPr>
        <w:jc w:val="both"/>
      </w:pPr>
    </w:p>
    <w:p w14:paraId="286FED29" w14:textId="77777777" w:rsidR="008B1AAD" w:rsidRDefault="00FC05B7" w:rsidP="008B1AAD">
      <w:pPr>
        <w:pBdr>
          <w:top w:val="single" w:sz="4" w:space="1" w:color="auto"/>
          <w:left w:val="single" w:sz="4" w:space="4" w:color="auto"/>
          <w:bottom w:val="single" w:sz="4" w:space="1" w:color="auto"/>
          <w:right w:val="single" w:sz="4" w:space="4" w:color="auto"/>
        </w:pBdr>
        <w:spacing w:after="200" w:line="276" w:lineRule="auto"/>
        <w:jc w:val="center"/>
        <w:rPr>
          <w:rFonts w:ascii="Gill Sans MT" w:hAnsi="Gill Sans MT"/>
          <w:b/>
          <w:sz w:val="22"/>
        </w:rPr>
      </w:pPr>
      <w:hyperlink r:id="rId15" w:history="1">
        <w:r w:rsidR="008B1AAD">
          <w:rPr>
            <w:rStyle w:val="Lienhypertexte"/>
            <w:rFonts w:ascii="Gill Sans MT" w:hAnsi="Gill Sans MT"/>
            <w:b/>
            <w:sz w:val="22"/>
          </w:rPr>
          <w:t>Lire le communiqué de presse</w:t>
        </w:r>
      </w:hyperlink>
    </w:p>
    <w:p w14:paraId="68E9FABC" w14:textId="77777777" w:rsidR="008B1AAD" w:rsidRDefault="008B1AAD" w:rsidP="008B1AAD">
      <w:pPr>
        <w:jc w:val="both"/>
      </w:pPr>
      <w:r w:rsidRPr="008B1AAD">
        <w:t>L’ARS Paca a recensé les difficultés actuelles d’approvisionnement et a sollicité la mise à disposition de nouveaux masques. Nous vous informerons des évolutions sur les disponibilités dès que possible.</w:t>
      </w:r>
    </w:p>
    <w:p w14:paraId="7344EB04" w14:textId="77777777" w:rsidR="008B1AAD" w:rsidRPr="009C1C4A" w:rsidRDefault="008B1AAD" w:rsidP="008B1AAD">
      <w:pPr>
        <w:jc w:val="both"/>
        <w:rPr>
          <w:rFonts w:asciiTheme="minorHAnsi" w:hAnsiTheme="minorHAnsi"/>
        </w:rPr>
      </w:pPr>
    </w:p>
    <w:p w14:paraId="35F8E7CC" w14:textId="77777777" w:rsidR="008B1AAD" w:rsidRPr="009240FC" w:rsidRDefault="008B1AAD" w:rsidP="008B1AAD">
      <w:pPr>
        <w:jc w:val="both"/>
        <w:rPr>
          <w:b/>
        </w:rPr>
      </w:pPr>
      <w:r w:rsidRPr="009240FC">
        <w:rPr>
          <w:b/>
        </w:rPr>
        <w:t>Les masques chirurgicaux</w:t>
      </w:r>
    </w:p>
    <w:p w14:paraId="28E153CE" w14:textId="77777777" w:rsidR="008B1AAD" w:rsidRDefault="008B1AAD" w:rsidP="008B1AAD">
      <w:pPr>
        <w:jc w:val="both"/>
      </w:pPr>
      <w:r>
        <w:t xml:space="preserve">Des masques chirurgicaux ont été mis à disposition via les pharmacies sur présentation de la carte CPS. De nouvelles livraisons auront lieu et la mise à disposition des masques se fera selon les mêmes modalités auprès des professions suivantes : </w:t>
      </w:r>
    </w:p>
    <w:p w14:paraId="6758BF61" w14:textId="77777777" w:rsidR="008B1AAD" w:rsidRDefault="008B1AAD" w:rsidP="008B1AAD">
      <w:pPr>
        <w:numPr>
          <w:ilvl w:val="0"/>
          <w:numId w:val="22"/>
        </w:numPr>
        <w:jc w:val="both"/>
      </w:pPr>
      <w:r>
        <w:t>médecins libéraux (généralistes et spécialistes)</w:t>
      </w:r>
    </w:p>
    <w:p w14:paraId="52B2D942" w14:textId="77777777" w:rsidR="008B1AAD" w:rsidRDefault="008B1AAD" w:rsidP="008B1AAD">
      <w:pPr>
        <w:numPr>
          <w:ilvl w:val="0"/>
          <w:numId w:val="22"/>
        </w:numPr>
        <w:jc w:val="both"/>
      </w:pPr>
      <w:r>
        <w:t>Chirurgiens-dentistes</w:t>
      </w:r>
    </w:p>
    <w:p w14:paraId="32459DD5" w14:textId="77777777" w:rsidR="008B1AAD" w:rsidRDefault="008B1AAD" w:rsidP="008B1AAD">
      <w:pPr>
        <w:numPr>
          <w:ilvl w:val="0"/>
          <w:numId w:val="22"/>
        </w:numPr>
        <w:jc w:val="both"/>
      </w:pPr>
      <w:r>
        <w:t>Sages-femmes</w:t>
      </w:r>
    </w:p>
    <w:p w14:paraId="33C4BA96" w14:textId="77777777" w:rsidR="008B1AAD" w:rsidRDefault="008B1AAD" w:rsidP="008B1AAD">
      <w:pPr>
        <w:numPr>
          <w:ilvl w:val="0"/>
          <w:numId w:val="22"/>
        </w:numPr>
        <w:jc w:val="both"/>
      </w:pPr>
      <w:r>
        <w:t xml:space="preserve">Infirmiers </w:t>
      </w:r>
    </w:p>
    <w:p w14:paraId="1D36EDE7" w14:textId="77777777" w:rsidR="008B1AAD" w:rsidRDefault="008B1AAD" w:rsidP="008B1AAD">
      <w:pPr>
        <w:numPr>
          <w:ilvl w:val="0"/>
          <w:numId w:val="22"/>
        </w:numPr>
        <w:jc w:val="both"/>
      </w:pPr>
      <w:r>
        <w:t xml:space="preserve">Masseurs kinésithérapeutes  </w:t>
      </w:r>
    </w:p>
    <w:p w14:paraId="5F516F7D" w14:textId="77777777" w:rsidR="008B1AAD" w:rsidRDefault="008B1AAD" w:rsidP="008B1AAD">
      <w:pPr>
        <w:jc w:val="both"/>
      </w:pPr>
      <w:r>
        <w:t xml:space="preserve">L’ARS fournit les masques pour les personnes contacts. </w:t>
      </w:r>
    </w:p>
    <w:p w14:paraId="391B2777" w14:textId="77777777" w:rsidR="0082670A" w:rsidRDefault="0082670A" w:rsidP="008B1AAD">
      <w:pPr>
        <w:jc w:val="both"/>
      </w:pPr>
    </w:p>
    <w:p w14:paraId="522EED91" w14:textId="77777777" w:rsidR="008B1AAD" w:rsidRDefault="008B1AAD" w:rsidP="008B1AAD">
      <w:pPr>
        <w:jc w:val="both"/>
      </w:pPr>
      <w:r>
        <w:t xml:space="preserve">Une instruction récente précise que sous réserve des conditions de stockage adaptées, des lots de masque avec un délai de dépassement de la date de péremption inférieure à 6 mois peuvent être mobilisés, sous réserve de : </w:t>
      </w:r>
    </w:p>
    <w:p w14:paraId="6D5CC7BD" w14:textId="77777777" w:rsidR="008B1AAD" w:rsidRDefault="008B1AAD" w:rsidP="008B1AAD">
      <w:pPr>
        <w:numPr>
          <w:ilvl w:val="0"/>
          <w:numId w:val="23"/>
        </w:numPr>
        <w:jc w:val="both"/>
      </w:pPr>
      <w:r>
        <w:t>Vérifier l’intégrité des conditionnements;</w:t>
      </w:r>
    </w:p>
    <w:p w14:paraId="1B67855D" w14:textId="77777777" w:rsidR="008B1AAD" w:rsidRDefault="008B1AAD" w:rsidP="008B1AAD">
      <w:pPr>
        <w:numPr>
          <w:ilvl w:val="0"/>
          <w:numId w:val="23"/>
        </w:numPr>
        <w:jc w:val="both"/>
      </w:pPr>
      <w:r>
        <w:t>Vérifier l’apparence (couleur d’origine) du masque;</w:t>
      </w:r>
    </w:p>
    <w:p w14:paraId="6D74033E" w14:textId="77777777" w:rsidR="008B1AAD" w:rsidRDefault="008B1AAD" w:rsidP="008B1AAD">
      <w:pPr>
        <w:numPr>
          <w:ilvl w:val="0"/>
          <w:numId w:val="23"/>
        </w:numPr>
        <w:jc w:val="both"/>
      </w:pPr>
      <w:r>
        <w:t>Vérification de la solidité des élastiques ;</w:t>
      </w:r>
    </w:p>
    <w:p w14:paraId="16AD6626" w14:textId="77777777" w:rsidR="008B1AAD" w:rsidRDefault="008B1AAD" w:rsidP="008B1AAD">
      <w:pPr>
        <w:numPr>
          <w:ilvl w:val="0"/>
          <w:numId w:val="23"/>
        </w:numPr>
        <w:jc w:val="both"/>
      </w:pPr>
      <w:r>
        <w:t xml:space="preserve">Les réserver aux professionnels de santé et soignants asymptomatiques lors de consultations en milieu hospitalier ou ambulatoire. </w:t>
      </w:r>
    </w:p>
    <w:p w14:paraId="1534869D" w14:textId="77777777" w:rsidR="008B1AAD" w:rsidRPr="009C1C4A" w:rsidRDefault="008B1AAD" w:rsidP="008B1AAD">
      <w:pPr>
        <w:jc w:val="both"/>
      </w:pPr>
      <w:r w:rsidRPr="008B1AAD">
        <w:t>L’utilisation d’un masque chirurgical avec un délai de dépassement de la date de péremption supérieure à 6 mois est possible sous réserve d’un contrôle visuel portant sur l’apparence (couleur d’origine) du masque et la solidité des élastiques.</w:t>
      </w:r>
    </w:p>
    <w:p w14:paraId="1B1D0177" w14:textId="77777777" w:rsidR="008B1AAD" w:rsidRDefault="008B1AAD" w:rsidP="008B1AAD">
      <w:pPr>
        <w:jc w:val="both"/>
      </w:pPr>
      <w:r w:rsidRPr="009C1C4A">
        <w:t xml:space="preserve">Ces masques ne peuvent pas être utilisés chez les patients </w:t>
      </w:r>
      <w:r>
        <w:t>symptomatiques.</w:t>
      </w:r>
    </w:p>
    <w:p w14:paraId="71D4E275" w14:textId="77777777" w:rsidR="008B1AAD" w:rsidRDefault="008B1AAD" w:rsidP="008B1AAD">
      <w:pPr>
        <w:jc w:val="both"/>
      </w:pPr>
    </w:p>
    <w:p w14:paraId="42CDF032" w14:textId="77777777" w:rsidR="008B1AAD" w:rsidRPr="008B1AAD" w:rsidRDefault="008B1AAD" w:rsidP="008B1AAD">
      <w:pPr>
        <w:pStyle w:val="Paragraphedeliste"/>
        <w:numPr>
          <w:ilvl w:val="0"/>
          <w:numId w:val="35"/>
        </w:numPr>
        <w:jc w:val="both"/>
        <w:rPr>
          <w:b/>
        </w:rPr>
      </w:pPr>
      <w:r w:rsidRPr="008B1AAD">
        <w:rPr>
          <w:b/>
        </w:rPr>
        <w:t>Rappel des recommandations à suivre pour la population</w:t>
      </w:r>
    </w:p>
    <w:p w14:paraId="71849051" w14:textId="77777777" w:rsidR="008B1AAD" w:rsidRDefault="008B1AAD" w:rsidP="008B1AAD">
      <w:pPr>
        <w:jc w:val="both"/>
      </w:pPr>
      <w:r>
        <w:lastRenderedPageBreak/>
        <w:t>En stade 1, comme en stade 2 comme pour l’avenir, le message reste le même : pour limiter la propagation de l’épidémie, la mesure la plus efficace est la plus simple. Elle repose sur la responsabilité individuelle : respecter les gestes barrières. La conduite à tenir est et reste valable au cours de chaque stade : se protéger soi-même pour une efficacité collective.</w:t>
      </w:r>
    </w:p>
    <w:p w14:paraId="05A171AF" w14:textId="77777777" w:rsidR="008B1AAD" w:rsidRDefault="008B1AAD" w:rsidP="008B1AAD">
      <w:pPr>
        <w:jc w:val="both"/>
      </w:pPr>
    </w:p>
    <w:p w14:paraId="1D92FC9A" w14:textId="77777777" w:rsidR="008B1AAD" w:rsidRDefault="008B1AAD" w:rsidP="008B1AAD">
      <w:pPr>
        <w:jc w:val="both"/>
      </w:pPr>
      <w:r>
        <w:t>Des gestes simples et efficaces permettent de réduire la transmission des infections (se laver très régulièrement les mains, tousser ou éternuer dans son coude ou dans un mouchoir, utiliser un mouchoir à usage unique et le jeter, saluer sans se serrer la main et éviter les embrassades).</w:t>
      </w:r>
    </w:p>
    <w:p w14:paraId="2AF15200" w14:textId="77777777" w:rsidR="008B1AAD" w:rsidRDefault="008B1AAD" w:rsidP="008B1AAD">
      <w:pPr>
        <w:jc w:val="both"/>
      </w:pPr>
    </w:p>
    <w:p w14:paraId="06E38A5E" w14:textId="77777777" w:rsidR="008B1AAD" w:rsidRDefault="008B1AAD" w:rsidP="008B1AAD">
      <w:pPr>
        <w:jc w:val="both"/>
      </w:pPr>
      <w:r>
        <w:t>Dans les établissements de santé, il convient de limiter les visites auprès des patients à une seule personne, interdire les visites des personnes mineures et bien évidemment interdire les visites de toute personne malade y compris dans les services de maternité.</w:t>
      </w:r>
    </w:p>
    <w:p w14:paraId="623FECBF" w14:textId="77777777" w:rsidR="008B1AAD" w:rsidRPr="003B3E92" w:rsidRDefault="008B1AAD" w:rsidP="008B1AAD">
      <w:pPr>
        <w:ind w:left="708"/>
        <w:jc w:val="both"/>
        <w:rPr>
          <w:b/>
        </w:rPr>
      </w:pPr>
    </w:p>
    <w:p w14:paraId="496A48DB" w14:textId="77777777" w:rsidR="008B1AAD" w:rsidRPr="008B1AAD" w:rsidRDefault="008B1AAD" w:rsidP="008B1AAD">
      <w:pPr>
        <w:pStyle w:val="Paragraphedeliste"/>
        <w:numPr>
          <w:ilvl w:val="0"/>
          <w:numId w:val="35"/>
        </w:numPr>
        <w:jc w:val="both"/>
        <w:rPr>
          <w:b/>
        </w:rPr>
      </w:pPr>
      <w:r w:rsidRPr="008B1AAD">
        <w:rPr>
          <w:b/>
        </w:rPr>
        <w:t>Pour accéder à une information actualisée sur le COVID-19</w:t>
      </w:r>
    </w:p>
    <w:p w14:paraId="0D79E1DD" w14:textId="77777777" w:rsidR="008B1AAD" w:rsidRDefault="008B1AAD" w:rsidP="008B1AAD">
      <w:pPr>
        <w:jc w:val="both"/>
      </w:pPr>
      <w:r>
        <w:t>Le contexte de l’alerte internationale relative aux infections respiratoires liées au nouveau coronavirus COVID-19 impose à chaque professionnel de santé de rester vigilant et constamment informé de la situation et des recommandations émises par le Ministère de la santé et Santé publique France.</w:t>
      </w:r>
    </w:p>
    <w:p w14:paraId="17DA88C5" w14:textId="77777777" w:rsidR="008B1AAD" w:rsidRDefault="008B1AAD" w:rsidP="008B1AAD">
      <w:pPr>
        <w:jc w:val="both"/>
      </w:pPr>
      <w:r>
        <w:t>Ainsi, l’Agence régionale de santé (ARS) Provence-Alpes-Côte d’Azur (Paca) conseille à tous les professionnels de santé de s’inscrire à la liste de diffusion « DGS urgent », un des outils du Ministère, qui vous avertit de toutes les modifications importantes dans la stratégie nationale mise en place pour faire face à ce nouveau virus. Cette inscription se fait en quelques secondes à l’adresse suivante :</w:t>
      </w:r>
    </w:p>
    <w:p w14:paraId="35BDAADC" w14:textId="77777777" w:rsidR="008B1AAD" w:rsidRDefault="00FC05B7" w:rsidP="008B1AAD">
      <w:hyperlink r:id="rId16" w:history="1">
        <w:r w:rsidR="008B1AAD" w:rsidRPr="00632905">
          <w:rPr>
            <w:rStyle w:val="Lienhypertexte"/>
          </w:rPr>
          <w:t>https://dgs-urgent.sante.gouv.fr/dgsurgent/inter/inscription.do?cmd=inscriptionFormulaire</w:t>
        </w:r>
      </w:hyperlink>
      <w:r w:rsidR="008B1AAD">
        <w:t xml:space="preserve"> </w:t>
      </w:r>
    </w:p>
    <w:p w14:paraId="485083BA" w14:textId="77777777" w:rsidR="008B1AAD" w:rsidRDefault="008B1AAD" w:rsidP="008B1AAD"/>
    <w:p w14:paraId="53DA4D30" w14:textId="77777777" w:rsidR="008B1AAD" w:rsidRDefault="008B1AAD" w:rsidP="008B1AAD">
      <w:r>
        <w:t>Vous pouvez aussi consulter :</w:t>
      </w:r>
    </w:p>
    <w:p w14:paraId="78D00360" w14:textId="77777777" w:rsidR="008B1AAD" w:rsidRDefault="008B1AAD" w:rsidP="008B1AAD">
      <w:pPr>
        <w:numPr>
          <w:ilvl w:val="0"/>
          <w:numId w:val="25"/>
        </w:numPr>
      </w:pPr>
      <w:r>
        <w:t xml:space="preserve">Le site de l’ARS Paca : </w:t>
      </w:r>
      <w:hyperlink r:id="rId17" w:history="1">
        <w:r w:rsidRPr="00632905">
          <w:rPr>
            <w:rStyle w:val="Lienhypertexte"/>
          </w:rPr>
          <w:t>www.paca.ars.sante.fr</w:t>
        </w:r>
      </w:hyperlink>
      <w:r>
        <w:t xml:space="preserve"> </w:t>
      </w:r>
    </w:p>
    <w:p w14:paraId="5F1E6B04" w14:textId="77777777" w:rsidR="008B1AAD" w:rsidRDefault="008B1AAD" w:rsidP="008B1AAD">
      <w:pPr>
        <w:pStyle w:val="Paragraphedeliste"/>
        <w:numPr>
          <w:ilvl w:val="0"/>
          <w:numId w:val="25"/>
        </w:numPr>
      </w:pPr>
      <w:r>
        <w:t xml:space="preserve"> Notre fil Twitter pour le relai de nos actualités : @</w:t>
      </w:r>
      <w:proofErr w:type="spellStart"/>
      <w:r>
        <w:t>ARSPaca</w:t>
      </w:r>
      <w:proofErr w:type="spellEnd"/>
      <w:r>
        <w:t xml:space="preserve"> </w:t>
      </w:r>
    </w:p>
    <w:p w14:paraId="2CFC5CEF" w14:textId="77777777" w:rsidR="008B1AAD" w:rsidRDefault="008B1AAD" w:rsidP="008B1AAD">
      <w:pPr>
        <w:numPr>
          <w:ilvl w:val="0"/>
          <w:numId w:val="25"/>
        </w:numPr>
      </w:pPr>
      <w:r>
        <w:t xml:space="preserve">Le site du Gouvernement : </w:t>
      </w:r>
      <w:hyperlink r:id="rId18" w:history="1">
        <w:r w:rsidRPr="00632905">
          <w:rPr>
            <w:rStyle w:val="Lienhypertexte"/>
          </w:rPr>
          <w:t>https://www.gouvernement.fr/info-coronavirus</w:t>
        </w:r>
      </w:hyperlink>
      <w:r>
        <w:t xml:space="preserve"> </w:t>
      </w:r>
    </w:p>
    <w:p w14:paraId="6886068D" w14:textId="77777777" w:rsidR="008B1AAD" w:rsidRDefault="008B1AAD" w:rsidP="008B1AAD">
      <w:pPr>
        <w:numPr>
          <w:ilvl w:val="0"/>
          <w:numId w:val="25"/>
        </w:numPr>
      </w:pPr>
      <w:r>
        <w:t xml:space="preserve">Le site du Ministère des Solidarités et de la santé : </w:t>
      </w:r>
      <w:hyperlink r:id="rId19" w:history="1">
        <w:r w:rsidRPr="00632905">
          <w:rPr>
            <w:rStyle w:val="Lienhypertexte"/>
          </w:rPr>
          <w:t>www.sante.gouv.fr</w:t>
        </w:r>
      </w:hyperlink>
      <w:r>
        <w:t xml:space="preserve"> </w:t>
      </w:r>
    </w:p>
    <w:p w14:paraId="78B6453B" w14:textId="77777777" w:rsidR="008B1AAD" w:rsidRPr="009C1C4A" w:rsidRDefault="008B1AAD" w:rsidP="008B1AAD"/>
    <w:p w14:paraId="322EB12B" w14:textId="77777777" w:rsidR="0064141B" w:rsidRDefault="0064141B" w:rsidP="008B1AAD"/>
    <w:sectPr w:rsidR="0064141B" w:rsidSect="001B193C">
      <w:footerReference w:type="default" r:id="rId20"/>
      <w:footerReference w:type="first" r:id="rId21"/>
      <w:pgSz w:w="11906" w:h="16838"/>
      <w:pgMar w:top="1134" w:right="1287" w:bottom="1418" w:left="1418" w:header="624" w:footer="624" w:gutter="0"/>
      <w:pgNumType w:start="2"/>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2750C4" w15:done="0"/>
  <w15:commentEx w15:paraId="6A0A42ED" w15:paraIdParent="372750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750C4" w16cid:durableId="22168122"/>
  <w16cid:commentId w16cid:paraId="6A0A42ED" w16cid:durableId="221687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ABD47" w14:textId="77777777" w:rsidR="00FC05B7" w:rsidRDefault="00FC05B7">
      <w:r>
        <w:separator/>
      </w:r>
    </w:p>
  </w:endnote>
  <w:endnote w:type="continuationSeparator" w:id="0">
    <w:p w14:paraId="04E50DF5" w14:textId="77777777" w:rsidR="00FC05B7" w:rsidRDefault="00FC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58B33" w14:textId="77777777" w:rsidR="009F0A24" w:rsidRDefault="00327DCB" w:rsidP="00FD7D0E">
    <w:pPr>
      <w:ind w:right="-286"/>
      <w:rPr>
        <w:color w:val="002395"/>
        <w:sz w:val="16"/>
      </w:rPr>
    </w:pPr>
    <w:r>
      <w:rPr>
        <w:noProof/>
      </w:rPr>
      <w:drawing>
        <wp:anchor distT="0" distB="0" distL="114300" distR="114300" simplePos="0" relativeHeight="251658240" behindDoc="0" locked="0" layoutInCell="1" allowOverlap="1" wp14:anchorId="05368212" wp14:editId="1728AEC7">
          <wp:simplePos x="0" y="0"/>
          <wp:positionH relativeFrom="column">
            <wp:posOffset>-457200</wp:posOffset>
          </wp:positionH>
          <wp:positionV relativeFrom="paragraph">
            <wp:posOffset>41275</wp:posOffset>
          </wp:positionV>
          <wp:extent cx="295275" cy="28575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sidR="009F0A24">
      <w:rPr>
        <w:color w:val="002395"/>
        <w:sz w:val="16"/>
      </w:rPr>
      <w:t>Agence régionale de santé Provence-Alpes-Côte d'Azur-</w:t>
    </w:r>
    <w:r w:rsidR="009F0A24">
      <w:rPr>
        <w:color w:val="002395"/>
        <w:sz w:val="16"/>
        <w:szCs w:val="18"/>
      </w:rPr>
      <w:t>Siège : 132, boulevard de Paris - CS 50039 - 13331 Marseille Cedex 03</w:t>
    </w:r>
  </w:p>
  <w:p w14:paraId="7859FF76" w14:textId="77777777" w:rsidR="009F0A24" w:rsidRDefault="009F0A24" w:rsidP="00FD7D0E">
    <w:pPr>
      <w:spacing w:before="20"/>
      <w:rPr>
        <w:color w:val="002395"/>
        <w:sz w:val="16"/>
      </w:rPr>
    </w:pPr>
    <w:r>
      <w:rPr>
        <w:color w:val="002395"/>
        <w:sz w:val="16"/>
      </w:rPr>
      <w:t xml:space="preserve">Tél 04.13.55.80.10 / Fax : 04.13.55.80.40  </w:t>
    </w:r>
  </w:p>
  <w:p w14:paraId="2FAA4D33" w14:textId="77777777" w:rsidR="009F0A24" w:rsidRDefault="00FC05B7" w:rsidP="00FD7D0E">
    <w:pPr>
      <w:spacing w:before="20"/>
      <w:rPr>
        <w:color w:val="002395"/>
        <w:sz w:val="16"/>
      </w:rPr>
    </w:pPr>
    <w:hyperlink r:id="rId2" w:history="1">
      <w:r w:rsidR="009F0A24">
        <w:rPr>
          <w:rStyle w:val="Lienhypertexte"/>
          <w:sz w:val="16"/>
        </w:rPr>
        <w:t>https://www.paca.ars.sante.fr/</w:t>
      </w:r>
    </w:hyperlink>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szCs w:val="16"/>
      </w:rPr>
      <w:t xml:space="preserve">Page </w:t>
    </w:r>
    <w:r w:rsidR="009F0A24">
      <w:rPr>
        <w:rStyle w:val="Numrodepage"/>
        <w:color w:val="002395"/>
        <w:sz w:val="16"/>
        <w:szCs w:val="16"/>
      </w:rPr>
      <w:fldChar w:fldCharType="begin"/>
    </w:r>
    <w:r w:rsidR="009F0A24">
      <w:rPr>
        <w:rStyle w:val="Numrodepage"/>
        <w:color w:val="002395"/>
        <w:sz w:val="16"/>
        <w:szCs w:val="16"/>
      </w:rPr>
      <w:instrText xml:space="preserve"> PAGE </w:instrText>
    </w:r>
    <w:r w:rsidR="009F0A24">
      <w:rPr>
        <w:rStyle w:val="Numrodepage"/>
        <w:color w:val="002395"/>
        <w:sz w:val="16"/>
        <w:szCs w:val="16"/>
      </w:rPr>
      <w:fldChar w:fldCharType="separate"/>
    </w:r>
    <w:r w:rsidR="00CD0A51">
      <w:rPr>
        <w:rStyle w:val="Numrodepage"/>
        <w:noProof/>
        <w:color w:val="002395"/>
        <w:sz w:val="16"/>
        <w:szCs w:val="16"/>
      </w:rPr>
      <w:t>2</w:t>
    </w:r>
    <w:r w:rsidR="009F0A24">
      <w:rPr>
        <w:rStyle w:val="Numrodepage"/>
        <w:color w:val="002395"/>
        <w:sz w:val="16"/>
        <w:szCs w:val="16"/>
      </w:rPr>
      <w:fldChar w:fldCharType="end"/>
    </w:r>
    <w:r w:rsidR="009F0A24">
      <w:rPr>
        <w:color w:val="002395"/>
        <w:sz w:val="16"/>
        <w:szCs w:val="16"/>
      </w:rPr>
      <w:t>/</w:t>
    </w:r>
    <w:r w:rsidR="009F0A24">
      <w:rPr>
        <w:rStyle w:val="Numrodepage"/>
        <w:color w:val="002395"/>
        <w:sz w:val="16"/>
        <w:szCs w:val="16"/>
      </w:rPr>
      <w:fldChar w:fldCharType="begin"/>
    </w:r>
    <w:r w:rsidR="009F0A24">
      <w:rPr>
        <w:rStyle w:val="Numrodepage"/>
        <w:color w:val="002395"/>
        <w:sz w:val="16"/>
        <w:szCs w:val="16"/>
      </w:rPr>
      <w:instrText xml:space="preserve"> NUMPAGES </w:instrText>
    </w:r>
    <w:r w:rsidR="009F0A24">
      <w:rPr>
        <w:rStyle w:val="Numrodepage"/>
        <w:color w:val="002395"/>
        <w:sz w:val="16"/>
        <w:szCs w:val="16"/>
      </w:rPr>
      <w:fldChar w:fldCharType="separate"/>
    </w:r>
    <w:r w:rsidR="00CD0A51">
      <w:rPr>
        <w:rStyle w:val="Numrodepage"/>
        <w:noProof/>
        <w:color w:val="002395"/>
        <w:sz w:val="16"/>
        <w:szCs w:val="16"/>
      </w:rPr>
      <w:t>4</w:t>
    </w:r>
    <w:r w:rsidR="009F0A24">
      <w:rPr>
        <w:rStyle w:val="Numrodepage"/>
        <w:color w:val="002395"/>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923DC" w14:textId="77777777" w:rsidR="009F0A24" w:rsidRDefault="00327DCB" w:rsidP="0058720B">
    <w:pPr>
      <w:ind w:right="-286"/>
      <w:rPr>
        <w:color w:val="002395"/>
        <w:sz w:val="16"/>
      </w:rPr>
    </w:pPr>
    <w:r>
      <w:rPr>
        <w:noProof/>
      </w:rPr>
      <w:drawing>
        <wp:anchor distT="0" distB="0" distL="114300" distR="114300" simplePos="0" relativeHeight="251657216" behindDoc="0" locked="0" layoutInCell="1" allowOverlap="1" wp14:anchorId="0EC5D1A7" wp14:editId="5608A079">
          <wp:simplePos x="0" y="0"/>
          <wp:positionH relativeFrom="column">
            <wp:posOffset>-457200</wp:posOffset>
          </wp:positionH>
          <wp:positionV relativeFrom="paragraph">
            <wp:posOffset>41275</wp:posOffset>
          </wp:positionV>
          <wp:extent cx="295275" cy="28575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sidR="009F0A24">
      <w:rPr>
        <w:color w:val="002395"/>
        <w:sz w:val="16"/>
      </w:rPr>
      <w:t>Agence régionale de santé Provence-Alpes-Côte d'Azur-</w:t>
    </w:r>
    <w:r w:rsidR="009F0A24">
      <w:rPr>
        <w:color w:val="002395"/>
        <w:sz w:val="16"/>
        <w:szCs w:val="18"/>
      </w:rPr>
      <w:t>Siège : 132, boulevard de Paris - CS 50039 - 13331 Marseille Cedex 03</w:t>
    </w:r>
  </w:p>
  <w:p w14:paraId="57A15C8D" w14:textId="77777777" w:rsidR="009F0A24" w:rsidRDefault="009F0A24" w:rsidP="0058720B">
    <w:pPr>
      <w:spacing w:before="20"/>
      <w:rPr>
        <w:color w:val="002395"/>
        <w:sz w:val="16"/>
      </w:rPr>
    </w:pPr>
    <w:r>
      <w:rPr>
        <w:color w:val="002395"/>
        <w:sz w:val="16"/>
      </w:rPr>
      <w:t xml:space="preserve">Tél 04.13.55.80.10 / Fax : 04.13.55.80.40  </w:t>
    </w:r>
  </w:p>
  <w:p w14:paraId="64687ED0" w14:textId="77777777" w:rsidR="009F0A24" w:rsidRDefault="00FC05B7" w:rsidP="0065084E">
    <w:pPr>
      <w:spacing w:before="20"/>
      <w:rPr>
        <w:color w:val="002395"/>
        <w:sz w:val="16"/>
      </w:rPr>
    </w:pPr>
    <w:hyperlink r:id="rId2" w:history="1">
      <w:r w:rsidR="009F0A24" w:rsidRPr="00746C5A">
        <w:rPr>
          <w:rStyle w:val="Lienhypertexte"/>
          <w:sz w:val="16"/>
        </w:rPr>
        <w:t>https://www.paca.ars.sante.fr/</w:t>
      </w:r>
    </w:hyperlink>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Pr>
        <w:color w:val="002395"/>
        <w:sz w:val="16"/>
      </w:rPr>
      <w:tab/>
    </w:r>
    <w:r w:rsidR="009F0A24" w:rsidRPr="006854C2">
      <w:rPr>
        <w:color w:val="002395"/>
        <w:sz w:val="16"/>
        <w:szCs w:val="16"/>
      </w:rPr>
      <w:t xml:space="preserve">Page </w:t>
    </w:r>
    <w:r w:rsidR="009F0A24" w:rsidRPr="006854C2">
      <w:rPr>
        <w:rStyle w:val="Numrodepage"/>
        <w:color w:val="002395"/>
        <w:sz w:val="16"/>
        <w:szCs w:val="16"/>
      </w:rPr>
      <w:fldChar w:fldCharType="begin"/>
    </w:r>
    <w:r w:rsidR="009F0A24" w:rsidRPr="006854C2">
      <w:rPr>
        <w:rStyle w:val="Numrodepage"/>
        <w:color w:val="002395"/>
        <w:sz w:val="16"/>
        <w:szCs w:val="16"/>
      </w:rPr>
      <w:instrText xml:space="preserve"> PAGE </w:instrText>
    </w:r>
    <w:r w:rsidR="009F0A24" w:rsidRPr="006854C2">
      <w:rPr>
        <w:rStyle w:val="Numrodepage"/>
        <w:color w:val="002395"/>
        <w:sz w:val="16"/>
        <w:szCs w:val="16"/>
      </w:rPr>
      <w:fldChar w:fldCharType="separate"/>
    </w:r>
    <w:r w:rsidR="001B193C">
      <w:rPr>
        <w:rStyle w:val="Numrodepage"/>
        <w:noProof/>
        <w:color w:val="002395"/>
        <w:sz w:val="16"/>
        <w:szCs w:val="16"/>
      </w:rPr>
      <w:t>6</w:t>
    </w:r>
    <w:r w:rsidR="009F0A24" w:rsidRPr="006854C2">
      <w:rPr>
        <w:rStyle w:val="Numrodepage"/>
        <w:color w:val="002395"/>
        <w:sz w:val="16"/>
        <w:szCs w:val="16"/>
      </w:rPr>
      <w:fldChar w:fldCharType="end"/>
    </w:r>
    <w:r w:rsidR="009F0A24" w:rsidRPr="006854C2">
      <w:rPr>
        <w:color w:val="002395"/>
        <w:sz w:val="16"/>
        <w:szCs w:val="16"/>
      </w:rPr>
      <w:t>/</w:t>
    </w:r>
    <w:r w:rsidR="009F0A24" w:rsidRPr="006854C2">
      <w:rPr>
        <w:rStyle w:val="Numrodepage"/>
        <w:color w:val="002395"/>
        <w:sz w:val="16"/>
        <w:szCs w:val="16"/>
      </w:rPr>
      <w:fldChar w:fldCharType="begin"/>
    </w:r>
    <w:r w:rsidR="009F0A24" w:rsidRPr="006854C2">
      <w:rPr>
        <w:rStyle w:val="Numrodepage"/>
        <w:color w:val="002395"/>
        <w:sz w:val="16"/>
        <w:szCs w:val="16"/>
      </w:rPr>
      <w:instrText xml:space="preserve"> NUMPAGES </w:instrText>
    </w:r>
    <w:r w:rsidR="009F0A24" w:rsidRPr="006854C2">
      <w:rPr>
        <w:rStyle w:val="Numrodepage"/>
        <w:color w:val="002395"/>
        <w:sz w:val="16"/>
        <w:szCs w:val="16"/>
      </w:rPr>
      <w:fldChar w:fldCharType="separate"/>
    </w:r>
    <w:r w:rsidR="001B193C">
      <w:rPr>
        <w:rStyle w:val="Numrodepage"/>
        <w:noProof/>
        <w:color w:val="002395"/>
        <w:sz w:val="16"/>
        <w:szCs w:val="16"/>
      </w:rPr>
      <w:t>15</w:t>
    </w:r>
    <w:r w:rsidR="009F0A24" w:rsidRPr="006854C2">
      <w:rPr>
        <w:rStyle w:val="Numrodepage"/>
        <w:color w:val="002395"/>
        <w:sz w:val="16"/>
        <w:szCs w:val="16"/>
      </w:rPr>
      <w:fldChar w:fldCharType="end"/>
    </w:r>
  </w:p>
  <w:p w14:paraId="17D5D97E" w14:textId="77777777" w:rsidR="009F0A24" w:rsidRDefault="009F0A24" w:rsidP="00BA162F">
    <w:pPr>
      <w:spacing w:before="20"/>
      <w:rPr>
        <w:color w:val="002395"/>
        <w:sz w:val="16"/>
      </w:rPr>
    </w:pPr>
  </w:p>
  <w:p w14:paraId="020567C8" w14:textId="77777777" w:rsidR="009F0A24" w:rsidRDefault="009F0A24" w:rsidP="00BA162F">
    <w:pPr>
      <w:pStyle w:val="Pieddepage"/>
      <w:jc w:val="center"/>
      <w:rPr>
        <w:sz w:val="16"/>
        <w:szCs w:val="16"/>
      </w:rPr>
    </w:pPr>
  </w:p>
  <w:p w14:paraId="246B0F31" w14:textId="77777777" w:rsidR="009F0A24" w:rsidRPr="00BA162F" w:rsidRDefault="00327DCB" w:rsidP="00BA162F">
    <w:pPr>
      <w:pStyle w:val="Pieddepage"/>
      <w:jc w:val="center"/>
      <w:rPr>
        <w:sz w:val="16"/>
        <w:szCs w:val="16"/>
      </w:rPr>
    </w:pPr>
    <w:r>
      <w:rPr>
        <w:noProof/>
        <w:sz w:val="16"/>
        <w:szCs w:val="16"/>
      </w:rPr>
      <w:drawing>
        <wp:inline distT="0" distB="0" distL="0" distR="0" wp14:anchorId="240133A0" wp14:editId="5D2649A7">
          <wp:extent cx="476250" cy="47625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1EC4B" w14:textId="77777777" w:rsidR="00FC05B7" w:rsidRDefault="00FC05B7">
      <w:r>
        <w:separator/>
      </w:r>
    </w:p>
  </w:footnote>
  <w:footnote w:type="continuationSeparator" w:id="0">
    <w:p w14:paraId="676B7906" w14:textId="77777777" w:rsidR="00FC05B7" w:rsidRDefault="00FC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8D"/>
    <w:multiLevelType w:val="hybridMultilevel"/>
    <w:tmpl w:val="908CDEC4"/>
    <w:lvl w:ilvl="0" w:tplc="B2167B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A3F34"/>
    <w:multiLevelType w:val="hybridMultilevel"/>
    <w:tmpl w:val="E326B7CC"/>
    <w:lvl w:ilvl="0" w:tplc="4DE0176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93B548C"/>
    <w:multiLevelType w:val="hybridMultilevel"/>
    <w:tmpl w:val="95EE4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CA56B8"/>
    <w:multiLevelType w:val="hybridMultilevel"/>
    <w:tmpl w:val="CBA871C6"/>
    <w:lvl w:ilvl="0" w:tplc="A0BCCEE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8576BE1"/>
    <w:multiLevelType w:val="hybridMultilevel"/>
    <w:tmpl w:val="A15CB9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842967"/>
    <w:multiLevelType w:val="hybridMultilevel"/>
    <w:tmpl w:val="975E5B6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89675A4"/>
    <w:multiLevelType w:val="hybridMultilevel"/>
    <w:tmpl w:val="D1741092"/>
    <w:lvl w:ilvl="0" w:tplc="1E82E3B2">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9837954"/>
    <w:multiLevelType w:val="hybridMultilevel"/>
    <w:tmpl w:val="2D2AEB6A"/>
    <w:lvl w:ilvl="0" w:tplc="B2167B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BE60C3B"/>
    <w:multiLevelType w:val="hybridMultilevel"/>
    <w:tmpl w:val="704C74D0"/>
    <w:lvl w:ilvl="0" w:tplc="87ECC838">
      <w:start w:val="1"/>
      <w:numFmt w:val="bullet"/>
      <w:lvlText w:val="•"/>
      <w:lvlJc w:val="left"/>
      <w:pPr>
        <w:tabs>
          <w:tab w:val="num" w:pos="720"/>
        </w:tabs>
        <w:ind w:left="720" w:hanging="360"/>
      </w:pPr>
      <w:rPr>
        <w:rFonts w:ascii="Arial" w:hAnsi="Arial" w:cs="Times New Roman" w:hint="default"/>
      </w:rPr>
    </w:lvl>
    <w:lvl w:ilvl="1" w:tplc="4DE01762">
      <w:numFmt w:val="bullet"/>
      <w:lvlText w:val="-"/>
      <w:lvlJc w:val="left"/>
      <w:pPr>
        <w:tabs>
          <w:tab w:val="num" w:pos="1440"/>
        </w:tabs>
        <w:ind w:left="1440" w:hanging="360"/>
      </w:pPr>
      <w:rPr>
        <w:rFonts w:ascii="Calibri" w:eastAsia="Times New Roman" w:hAnsi="Calibri" w:cs="Times New Roman" w:hint="default"/>
      </w:rPr>
    </w:lvl>
    <w:lvl w:ilvl="2" w:tplc="51E2BE4E">
      <w:start w:val="1"/>
      <w:numFmt w:val="bullet"/>
      <w:lvlText w:val="•"/>
      <w:lvlJc w:val="left"/>
      <w:pPr>
        <w:tabs>
          <w:tab w:val="num" w:pos="2160"/>
        </w:tabs>
        <w:ind w:left="2160" w:hanging="360"/>
      </w:pPr>
      <w:rPr>
        <w:rFonts w:ascii="Arial" w:hAnsi="Arial" w:cs="Times New Roman" w:hint="default"/>
      </w:rPr>
    </w:lvl>
    <w:lvl w:ilvl="3" w:tplc="2A1CC470">
      <w:start w:val="1"/>
      <w:numFmt w:val="bullet"/>
      <w:lvlText w:val="•"/>
      <w:lvlJc w:val="left"/>
      <w:pPr>
        <w:tabs>
          <w:tab w:val="num" w:pos="2880"/>
        </w:tabs>
        <w:ind w:left="2880" w:hanging="360"/>
      </w:pPr>
      <w:rPr>
        <w:rFonts w:ascii="Arial" w:hAnsi="Arial" w:cs="Times New Roman" w:hint="default"/>
      </w:rPr>
    </w:lvl>
    <w:lvl w:ilvl="4" w:tplc="9400426C">
      <w:start w:val="1"/>
      <w:numFmt w:val="bullet"/>
      <w:lvlText w:val="•"/>
      <w:lvlJc w:val="left"/>
      <w:pPr>
        <w:tabs>
          <w:tab w:val="num" w:pos="3600"/>
        </w:tabs>
        <w:ind w:left="3600" w:hanging="360"/>
      </w:pPr>
      <w:rPr>
        <w:rFonts w:ascii="Arial" w:hAnsi="Arial" w:cs="Times New Roman" w:hint="default"/>
      </w:rPr>
    </w:lvl>
    <w:lvl w:ilvl="5" w:tplc="800832F0">
      <w:start w:val="1"/>
      <w:numFmt w:val="bullet"/>
      <w:lvlText w:val="•"/>
      <w:lvlJc w:val="left"/>
      <w:pPr>
        <w:tabs>
          <w:tab w:val="num" w:pos="4320"/>
        </w:tabs>
        <w:ind w:left="4320" w:hanging="360"/>
      </w:pPr>
      <w:rPr>
        <w:rFonts w:ascii="Arial" w:hAnsi="Arial" w:cs="Times New Roman" w:hint="default"/>
      </w:rPr>
    </w:lvl>
    <w:lvl w:ilvl="6" w:tplc="76B0CF28">
      <w:start w:val="1"/>
      <w:numFmt w:val="bullet"/>
      <w:lvlText w:val="•"/>
      <w:lvlJc w:val="left"/>
      <w:pPr>
        <w:tabs>
          <w:tab w:val="num" w:pos="5040"/>
        </w:tabs>
        <w:ind w:left="5040" w:hanging="360"/>
      </w:pPr>
      <w:rPr>
        <w:rFonts w:ascii="Arial" w:hAnsi="Arial" w:cs="Times New Roman" w:hint="default"/>
      </w:rPr>
    </w:lvl>
    <w:lvl w:ilvl="7" w:tplc="CA6E7292">
      <w:start w:val="1"/>
      <w:numFmt w:val="bullet"/>
      <w:lvlText w:val="•"/>
      <w:lvlJc w:val="left"/>
      <w:pPr>
        <w:tabs>
          <w:tab w:val="num" w:pos="5760"/>
        </w:tabs>
        <w:ind w:left="5760" w:hanging="360"/>
      </w:pPr>
      <w:rPr>
        <w:rFonts w:ascii="Arial" w:hAnsi="Arial" w:cs="Times New Roman" w:hint="default"/>
      </w:rPr>
    </w:lvl>
    <w:lvl w:ilvl="8" w:tplc="BE823CF6">
      <w:start w:val="1"/>
      <w:numFmt w:val="bullet"/>
      <w:lvlText w:val="•"/>
      <w:lvlJc w:val="left"/>
      <w:pPr>
        <w:tabs>
          <w:tab w:val="num" w:pos="6480"/>
        </w:tabs>
        <w:ind w:left="6480" w:hanging="360"/>
      </w:pPr>
      <w:rPr>
        <w:rFonts w:ascii="Arial" w:hAnsi="Arial" w:cs="Times New Roman" w:hint="default"/>
      </w:rPr>
    </w:lvl>
  </w:abstractNum>
  <w:abstractNum w:abstractNumId="9">
    <w:nsid w:val="29E86140"/>
    <w:multiLevelType w:val="hybridMultilevel"/>
    <w:tmpl w:val="5FD84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8A2F1F"/>
    <w:multiLevelType w:val="hybridMultilevel"/>
    <w:tmpl w:val="EA52F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F436D1"/>
    <w:multiLevelType w:val="hybridMultilevel"/>
    <w:tmpl w:val="526A20A4"/>
    <w:lvl w:ilvl="0" w:tplc="B2167B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761B88"/>
    <w:multiLevelType w:val="hybridMultilevel"/>
    <w:tmpl w:val="D69A600A"/>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3">
    <w:nsid w:val="35C86FFD"/>
    <w:multiLevelType w:val="hybridMultilevel"/>
    <w:tmpl w:val="362A31E6"/>
    <w:lvl w:ilvl="0" w:tplc="B2167B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460672"/>
    <w:multiLevelType w:val="hybridMultilevel"/>
    <w:tmpl w:val="B6288A7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F2522FA"/>
    <w:multiLevelType w:val="hybridMultilevel"/>
    <w:tmpl w:val="FEEA23B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F637F7C"/>
    <w:multiLevelType w:val="hybridMultilevel"/>
    <w:tmpl w:val="836680D4"/>
    <w:lvl w:ilvl="0" w:tplc="4DE0176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04C5C6C"/>
    <w:multiLevelType w:val="hybridMultilevel"/>
    <w:tmpl w:val="A42EFBCA"/>
    <w:lvl w:ilvl="0" w:tplc="B2167B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4C872BB"/>
    <w:multiLevelType w:val="hybridMultilevel"/>
    <w:tmpl w:val="F6DE4F6C"/>
    <w:lvl w:ilvl="0" w:tplc="DF46FA7A">
      <w:start w:val="1"/>
      <w:numFmt w:val="bullet"/>
      <w:lvlText w:val=""/>
      <w:lvlJc w:val="left"/>
      <w:pPr>
        <w:tabs>
          <w:tab w:val="num" w:pos="360"/>
        </w:tabs>
        <w:ind w:left="360" w:hanging="360"/>
      </w:pPr>
      <w:rPr>
        <w:rFonts w:ascii="Symbol" w:hAnsi="Symbol" w:hint="default"/>
      </w:rPr>
    </w:lvl>
    <w:lvl w:ilvl="1" w:tplc="0C5EED4A">
      <w:start w:val="1"/>
      <w:numFmt w:val="bullet"/>
      <w:lvlText w:val="•"/>
      <w:lvlJc w:val="left"/>
      <w:pPr>
        <w:tabs>
          <w:tab w:val="num" w:pos="1080"/>
        </w:tabs>
        <w:ind w:left="1080" w:hanging="360"/>
      </w:pPr>
      <w:rPr>
        <w:rFonts w:ascii="Arial" w:hAnsi="Arial" w:cs="Times New Roman" w:hint="default"/>
      </w:rPr>
    </w:lvl>
    <w:lvl w:ilvl="2" w:tplc="C07CF146">
      <w:start w:val="1"/>
      <w:numFmt w:val="bullet"/>
      <w:lvlText w:val="•"/>
      <w:lvlJc w:val="left"/>
      <w:pPr>
        <w:tabs>
          <w:tab w:val="num" w:pos="1800"/>
        </w:tabs>
        <w:ind w:left="1800" w:hanging="360"/>
      </w:pPr>
      <w:rPr>
        <w:rFonts w:ascii="Arial" w:hAnsi="Arial" w:cs="Times New Roman" w:hint="default"/>
      </w:rPr>
    </w:lvl>
    <w:lvl w:ilvl="3" w:tplc="D13692BC">
      <w:start w:val="1"/>
      <w:numFmt w:val="bullet"/>
      <w:lvlText w:val="•"/>
      <w:lvlJc w:val="left"/>
      <w:pPr>
        <w:tabs>
          <w:tab w:val="num" w:pos="2520"/>
        </w:tabs>
        <w:ind w:left="2520" w:hanging="360"/>
      </w:pPr>
      <w:rPr>
        <w:rFonts w:ascii="Arial" w:hAnsi="Arial" w:cs="Times New Roman" w:hint="default"/>
      </w:rPr>
    </w:lvl>
    <w:lvl w:ilvl="4" w:tplc="E35859A4">
      <w:start w:val="1"/>
      <w:numFmt w:val="bullet"/>
      <w:lvlText w:val="•"/>
      <w:lvlJc w:val="left"/>
      <w:pPr>
        <w:tabs>
          <w:tab w:val="num" w:pos="3240"/>
        </w:tabs>
        <w:ind w:left="3240" w:hanging="360"/>
      </w:pPr>
      <w:rPr>
        <w:rFonts w:ascii="Arial" w:hAnsi="Arial" w:cs="Times New Roman" w:hint="default"/>
      </w:rPr>
    </w:lvl>
    <w:lvl w:ilvl="5" w:tplc="64404BC2">
      <w:start w:val="1"/>
      <w:numFmt w:val="bullet"/>
      <w:lvlText w:val="•"/>
      <w:lvlJc w:val="left"/>
      <w:pPr>
        <w:tabs>
          <w:tab w:val="num" w:pos="3960"/>
        </w:tabs>
        <w:ind w:left="3960" w:hanging="360"/>
      </w:pPr>
      <w:rPr>
        <w:rFonts w:ascii="Arial" w:hAnsi="Arial" w:cs="Times New Roman" w:hint="default"/>
      </w:rPr>
    </w:lvl>
    <w:lvl w:ilvl="6" w:tplc="BB042846">
      <w:start w:val="1"/>
      <w:numFmt w:val="bullet"/>
      <w:lvlText w:val="•"/>
      <w:lvlJc w:val="left"/>
      <w:pPr>
        <w:tabs>
          <w:tab w:val="num" w:pos="4680"/>
        </w:tabs>
        <w:ind w:left="4680" w:hanging="360"/>
      </w:pPr>
      <w:rPr>
        <w:rFonts w:ascii="Arial" w:hAnsi="Arial" w:cs="Times New Roman" w:hint="default"/>
      </w:rPr>
    </w:lvl>
    <w:lvl w:ilvl="7" w:tplc="8AA8D4DA">
      <w:start w:val="1"/>
      <w:numFmt w:val="bullet"/>
      <w:lvlText w:val="•"/>
      <w:lvlJc w:val="left"/>
      <w:pPr>
        <w:tabs>
          <w:tab w:val="num" w:pos="5400"/>
        </w:tabs>
        <w:ind w:left="5400" w:hanging="360"/>
      </w:pPr>
      <w:rPr>
        <w:rFonts w:ascii="Arial" w:hAnsi="Arial" w:cs="Times New Roman" w:hint="default"/>
      </w:rPr>
    </w:lvl>
    <w:lvl w:ilvl="8" w:tplc="53AECC40">
      <w:start w:val="1"/>
      <w:numFmt w:val="bullet"/>
      <w:lvlText w:val="•"/>
      <w:lvlJc w:val="left"/>
      <w:pPr>
        <w:tabs>
          <w:tab w:val="num" w:pos="6120"/>
        </w:tabs>
        <w:ind w:left="6120" w:hanging="360"/>
      </w:pPr>
      <w:rPr>
        <w:rFonts w:ascii="Arial" w:hAnsi="Arial" w:cs="Times New Roman" w:hint="default"/>
      </w:rPr>
    </w:lvl>
  </w:abstractNum>
  <w:abstractNum w:abstractNumId="19">
    <w:nsid w:val="4D1852D8"/>
    <w:multiLevelType w:val="hybridMultilevel"/>
    <w:tmpl w:val="4E941A08"/>
    <w:lvl w:ilvl="0" w:tplc="B2167B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2D9250E"/>
    <w:multiLevelType w:val="hybridMultilevel"/>
    <w:tmpl w:val="06CC14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FC3DB6"/>
    <w:multiLevelType w:val="hybridMultilevel"/>
    <w:tmpl w:val="9A4E1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9684358"/>
    <w:multiLevelType w:val="hybridMultilevel"/>
    <w:tmpl w:val="89EA7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2502FB"/>
    <w:multiLevelType w:val="hybridMultilevel"/>
    <w:tmpl w:val="232EF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240F16"/>
    <w:multiLevelType w:val="hybridMultilevel"/>
    <w:tmpl w:val="021681F8"/>
    <w:lvl w:ilvl="0" w:tplc="DF46FA7A">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nsid w:val="64C93CD6"/>
    <w:multiLevelType w:val="hybridMultilevel"/>
    <w:tmpl w:val="42AC3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307719"/>
    <w:multiLevelType w:val="hybridMultilevel"/>
    <w:tmpl w:val="BE5EB21A"/>
    <w:lvl w:ilvl="0" w:tplc="B2167B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17020C"/>
    <w:multiLevelType w:val="hybridMultilevel"/>
    <w:tmpl w:val="63DC4606"/>
    <w:lvl w:ilvl="0" w:tplc="B3F43F66">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B64D3B"/>
    <w:multiLevelType w:val="hybridMultilevel"/>
    <w:tmpl w:val="3500B740"/>
    <w:lvl w:ilvl="0" w:tplc="9BFA58AC">
      <w:start w:val="1"/>
      <w:numFmt w:val="bullet"/>
      <w:lvlText w:val=""/>
      <w:lvlJc w:val="left"/>
      <w:pPr>
        <w:tabs>
          <w:tab w:val="num" w:pos="720"/>
        </w:tabs>
        <w:ind w:left="720" w:hanging="360"/>
      </w:pPr>
      <w:rPr>
        <w:rFonts w:ascii="Wingdings" w:hAnsi="Wingdings" w:hint="default"/>
      </w:rPr>
    </w:lvl>
    <w:lvl w:ilvl="1" w:tplc="525E585C" w:tentative="1">
      <w:start w:val="1"/>
      <w:numFmt w:val="bullet"/>
      <w:lvlText w:val=""/>
      <w:lvlJc w:val="left"/>
      <w:pPr>
        <w:tabs>
          <w:tab w:val="num" w:pos="1440"/>
        </w:tabs>
        <w:ind w:left="1440" w:hanging="360"/>
      </w:pPr>
      <w:rPr>
        <w:rFonts w:ascii="Wingdings" w:hAnsi="Wingdings" w:hint="default"/>
      </w:rPr>
    </w:lvl>
    <w:lvl w:ilvl="2" w:tplc="333289C0" w:tentative="1">
      <w:start w:val="1"/>
      <w:numFmt w:val="bullet"/>
      <w:lvlText w:val=""/>
      <w:lvlJc w:val="left"/>
      <w:pPr>
        <w:tabs>
          <w:tab w:val="num" w:pos="2160"/>
        </w:tabs>
        <w:ind w:left="2160" w:hanging="360"/>
      </w:pPr>
      <w:rPr>
        <w:rFonts w:ascii="Wingdings" w:hAnsi="Wingdings" w:hint="default"/>
      </w:rPr>
    </w:lvl>
    <w:lvl w:ilvl="3" w:tplc="095A1EC4" w:tentative="1">
      <w:start w:val="1"/>
      <w:numFmt w:val="bullet"/>
      <w:lvlText w:val=""/>
      <w:lvlJc w:val="left"/>
      <w:pPr>
        <w:tabs>
          <w:tab w:val="num" w:pos="2880"/>
        </w:tabs>
        <w:ind w:left="2880" w:hanging="360"/>
      </w:pPr>
      <w:rPr>
        <w:rFonts w:ascii="Wingdings" w:hAnsi="Wingdings" w:hint="default"/>
      </w:rPr>
    </w:lvl>
    <w:lvl w:ilvl="4" w:tplc="A1A24F2E" w:tentative="1">
      <w:start w:val="1"/>
      <w:numFmt w:val="bullet"/>
      <w:lvlText w:val=""/>
      <w:lvlJc w:val="left"/>
      <w:pPr>
        <w:tabs>
          <w:tab w:val="num" w:pos="3600"/>
        </w:tabs>
        <w:ind w:left="3600" w:hanging="360"/>
      </w:pPr>
      <w:rPr>
        <w:rFonts w:ascii="Wingdings" w:hAnsi="Wingdings" w:hint="default"/>
      </w:rPr>
    </w:lvl>
    <w:lvl w:ilvl="5" w:tplc="047A3590" w:tentative="1">
      <w:start w:val="1"/>
      <w:numFmt w:val="bullet"/>
      <w:lvlText w:val=""/>
      <w:lvlJc w:val="left"/>
      <w:pPr>
        <w:tabs>
          <w:tab w:val="num" w:pos="4320"/>
        </w:tabs>
        <w:ind w:left="4320" w:hanging="360"/>
      </w:pPr>
      <w:rPr>
        <w:rFonts w:ascii="Wingdings" w:hAnsi="Wingdings" w:hint="default"/>
      </w:rPr>
    </w:lvl>
    <w:lvl w:ilvl="6" w:tplc="49CCA3F4" w:tentative="1">
      <w:start w:val="1"/>
      <w:numFmt w:val="bullet"/>
      <w:lvlText w:val=""/>
      <w:lvlJc w:val="left"/>
      <w:pPr>
        <w:tabs>
          <w:tab w:val="num" w:pos="5040"/>
        </w:tabs>
        <w:ind w:left="5040" w:hanging="360"/>
      </w:pPr>
      <w:rPr>
        <w:rFonts w:ascii="Wingdings" w:hAnsi="Wingdings" w:hint="default"/>
      </w:rPr>
    </w:lvl>
    <w:lvl w:ilvl="7" w:tplc="44FE3686" w:tentative="1">
      <w:start w:val="1"/>
      <w:numFmt w:val="bullet"/>
      <w:lvlText w:val=""/>
      <w:lvlJc w:val="left"/>
      <w:pPr>
        <w:tabs>
          <w:tab w:val="num" w:pos="5760"/>
        </w:tabs>
        <w:ind w:left="5760" w:hanging="360"/>
      </w:pPr>
      <w:rPr>
        <w:rFonts w:ascii="Wingdings" w:hAnsi="Wingdings" w:hint="default"/>
      </w:rPr>
    </w:lvl>
    <w:lvl w:ilvl="8" w:tplc="005E90DA" w:tentative="1">
      <w:start w:val="1"/>
      <w:numFmt w:val="bullet"/>
      <w:lvlText w:val=""/>
      <w:lvlJc w:val="left"/>
      <w:pPr>
        <w:tabs>
          <w:tab w:val="num" w:pos="6480"/>
        </w:tabs>
        <w:ind w:left="6480" w:hanging="360"/>
      </w:pPr>
      <w:rPr>
        <w:rFonts w:ascii="Wingdings" w:hAnsi="Wingdings" w:hint="default"/>
      </w:rPr>
    </w:lvl>
  </w:abstractNum>
  <w:abstractNum w:abstractNumId="29">
    <w:nsid w:val="75493D21"/>
    <w:multiLevelType w:val="hybridMultilevel"/>
    <w:tmpl w:val="CF64B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C52040"/>
    <w:multiLevelType w:val="hybridMultilevel"/>
    <w:tmpl w:val="61882C82"/>
    <w:lvl w:ilvl="0" w:tplc="D2B89E7C">
      <w:start w:val="5"/>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F509B3"/>
    <w:multiLevelType w:val="hybridMultilevel"/>
    <w:tmpl w:val="7382D986"/>
    <w:lvl w:ilvl="0" w:tplc="B2167B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8"/>
  </w:num>
  <w:num w:numId="4">
    <w:abstractNumId w:val="8"/>
  </w:num>
  <w:num w:numId="5">
    <w:abstractNumId w:val="7"/>
  </w:num>
  <w:num w:numId="6">
    <w:abstractNumId w:val="1"/>
  </w:num>
  <w:num w:numId="7">
    <w:abstractNumId w:val="16"/>
  </w:num>
  <w:num w:numId="8">
    <w:abstractNumId w:val="18"/>
  </w:num>
  <w:num w:numId="9">
    <w:abstractNumId w:val="1"/>
  </w:num>
  <w:num w:numId="10">
    <w:abstractNumId w:val="25"/>
  </w:num>
  <w:num w:numId="11">
    <w:abstractNumId w:val="14"/>
  </w:num>
  <w:num w:numId="12">
    <w:abstractNumId w:val="15"/>
  </w:num>
  <w:num w:numId="13">
    <w:abstractNumId w:val="21"/>
  </w:num>
  <w:num w:numId="14">
    <w:abstractNumId w:val="9"/>
  </w:num>
  <w:num w:numId="15">
    <w:abstractNumId w:val="23"/>
  </w:num>
  <w:num w:numId="16">
    <w:abstractNumId w:val="10"/>
  </w:num>
  <w:num w:numId="17">
    <w:abstractNumId w:val="29"/>
  </w:num>
  <w:num w:numId="18">
    <w:abstractNumId w:val="30"/>
  </w:num>
  <w:num w:numId="19">
    <w:abstractNumId w:val="22"/>
  </w:num>
  <w:num w:numId="20">
    <w:abstractNumId w:val="2"/>
  </w:num>
  <w:num w:numId="21">
    <w:abstractNumId w:val="7"/>
  </w:num>
  <w:num w:numId="22">
    <w:abstractNumId w:val="17"/>
  </w:num>
  <w:num w:numId="23">
    <w:abstractNumId w:val="0"/>
  </w:num>
  <w:num w:numId="24">
    <w:abstractNumId w:val="31"/>
  </w:num>
  <w:num w:numId="25">
    <w:abstractNumId w:val="26"/>
  </w:num>
  <w:num w:numId="26">
    <w:abstractNumId w:val="11"/>
  </w:num>
  <w:num w:numId="27">
    <w:abstractNumId w:val="13"/>
  </w:num>
  <w:num w:numId="28">
    <w:abstractNumId w:val="27"/>
  </w:num>
  <w:num w:numId="29">
    <w:abstractNumId w:val="12"/>
  </w:num>
  <w:num w:numId="30">
    <w:abstractNumId w:val="3"/>
  </w:num>
  <w:num w:numId="31">
    <w:abstractNumId w:val="28"/>
  </w:num>
  <w:num w:numId="32">
    <w:abstractNumId w:val="5"/>
  </w:num>
  <w:num w:numId="33">
    <w:abstractNumId w:val="6"/>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75"/>
    <w:rsid w:val="00001D7B"/>
    <w:rsid w:val="0002341F"/>
    <w:rsid w:val="00044D0F"/>
    <w:rsid w:val="00045418"/>
    <w:rsid w:val="00051E55"/>
    <w:rsid w:val="00063939"/>
    <w:rsid w:val="00064190"/>
    <w:rsid w:val="000C0205"/>
    <w:rsid w:val="000C6F2E"/>
    <w:rsid w:val="000D2583"/>
    <w:rsid w:val="000D53A3"/>
    <w:rsid w:val="000D7459"/>
    <w:rsid w:val="001251B2"/>
    <w:rsid w:val="00126A25"/>
    <w:rsid w:val="00134F8F"/>
    <w:rsid w:val="001370D4"/>
    <w:rsid w:val="0014092A"/>
    <w:rsid w:val="00141D1E"/>
    <w:rsid w:val="0014519D"/>
    <w:rsid w:val="00146674"/>
    <w:rsid w:val="001500CB"/>
    <w:rsid w:val="00173AA3"/>
    <w:rsid w:val="00185307"/>
    <w:rsid w:val="001A4F6B"/>
    <w:rsid w:val="001B193C"/>
    <w:rsid w:val="001C343E"/>
    <w:rsid w:val="001F01C7"/>
    <w:rsid w:val="00214868"/>
    <w:rsid w:val="002471C9"/>
    <w:rsid w:val="00250275"/>
    <w:rsid w:val="002530BE"/>
    <w:rsid w:val="002531A6"/>
    <w:rsid w:val="002550B2"/>
    <w:rsid w:val="00274943"/>
    <w:rsid w:val="002A1596"/>
    <w:rsid w:val="002A7F2F"/>
    <w:rsid w:val="002B3073"/>
    <w:rsid w:val="002B787D"/>
    <w:rsid w:val="002E42D8"/>
    <w:rsid w:val="002E6433"/>
    <w:rsid w:val="00311E36"/>
    <w:rsid w:val="00327DCB"/>
    <w:rsid w:val="00387B75"/>
    <w:rsid w:val="003B0103"/>
    <w:rsid w:val="003B3E92"/>
    <w:rsid w:val="003D5B2A"/>
    <w:rsid w:val="003E42B0"/>
    <w:rsid w:val="003E4382"/>
    <w:rsid w:val="004067EC"/>
    <w:rsid w:val="00414D16"/>
    <w:rsid w:val="00416557"/>
    <w:rsid w:val="004172F4"/>
    <w:rsid w:val="00422003"/>
    <w:rsid w:val="00437513"/>
    <w:rsid w:val="00440521"/>
    <w:rsid w:val="00461199"/>
    <w:rsid w:val="00465AB5"/>
    <w:rsid w:val="004A2221"/>
    <w:rsid w:val="004A24AB"/>
    <w:rsid w:val="004C6675"/>
    <w:rsid w:val="004D3053"/>
    <w:rsid w:val="004D66D4"/>
    <w:rsid w:val="004D70C9"/>
    <w:rsid w:val="004E37A4"/>
    <w:rsid w:val="004F07F0"/>
    <w:rsid w:val="004F2574"/>
    <w:rsid w:val="004F7F4E"/>
    <w:rsid w:val="00513A35"/>
    <w:rsid w:val="0052245D"/>
    <w:rsid w:val="005339A6"/>
    <w:rsid w:val="005341FF"/>
    <w:rsid w:val="00550CB3"/>
    <w:rsid w:val="00551EB2"/>
    <w:rsid w:val="005600E2"/>
    <w:rsid w:val="00563180"/>
    <w:rsid w:val="005710CB"/>
    <w:rsid w:val="00582CD5"/>
    <w:rsid w:val="0058720B"/>
    <w:rsid w:val="005926CE"/>
    <w:rsid w:val="0059641C"/>
    <w:rsid w:val="005C0E2C"/>
    <w:rsid w:val="005C7016"/>
    <w:rsid w:val="005D49C5"/>
    <w:rsid w:val="005D5951"/>
    <w:rsid w:val="006063B3"/>
    <w:rsid w:val="00613877"/>
    <w:rsid w:val="0063735D"/>
    <w:rsid w:val="0064141B"/>
    <w:rsid w:val="0065084E"/>
    <w:rsid w:val="006533DC"/>
    <w:rsid w:val="00656E7D"/>
    <w:rsid w:val="00677163"/>
    <w:rsid w:val="006A4800"/>
    <w:rsid w:val="006A7329"/>
    <w:rsid w:val="006D1413"/>
    <w:rsid w:val="006E0E47"/>
    <w:rsid w:val="006F27CB"/>
    <w:rsid w:val="006F552C"/>
    <w:rsid w:val="00703650"/>
    <w:rsid w:val="00712148"/>
    <w:rsid w:val="00723D59"/>
    <w:rsid w:val="00727A1E"/>
    <w:rsid w:val="00746C5A"/>
    <w:rsid w:val="00753653"/>
    <w:rsid w:val="0075701D"/>
    <w:rsid w:val="007749EA"/>
    <w:rsid w:val="00776B2B"/>
    <w:rsid w:val="00786A8C"/>
    <w:rsid w:val="00791E91"/>
    <w:rsid w:val="007A162A"/>
    <w:rsid w:val="007A64F2"/>
    <w:rsid w:val="007C3F14"/>
    <w:rsid w:val="007D6E65"/>
    <w:rsid w:val="007F3CCE"/>
    <w:rsid w:val="00810C69"/>
    <w:rsid w:val="00820A43"/>
    <w:rsid w:val="0082670A"/>
    <w:rsid w:val="00826AEA"/>
    <w:rsid w:val="008338FD"/>
    <w:rsid w:val="00834643"/>
    <w:rsid w:val="00837101"/>
    <w:rsid w:val="008B1AAD"/>
    <w:rsid w:val="008E6FAE"/>
    <w:rsid w:val="008F04E1"/>
    <w:rsid w:val="00911077"/>
    <w:rsid w:val="00932365"/>
    <w:rsid w:val="009370DA"/>
    <w:rsid w:val="00956D81"/>
    <w:rsid w:val="009A76F8"/>
    <w:rsid w:val="009B2721"/>
    <w:rsid w:val="009C2A4B"/>
    <w:rsid w:val="009D18C3"/>
    <w:rsid w:val="009F0A24"/>
    <w:rsid w:val="00A27AD0"/>
    <w:rsid w:val="00A37157"/>
    <w:rsid w:val="00A502B8"/>
    <w:rsid w:val="00A668D5"/>
    <w:rsid w:val="00A6734F"/>
    <w:rsid w:val="00AC1F98"/>
    <w:rsid w:val="00AD0069"/>
    <w:rsid w:val="00AD5119"/>
    <w:rsid w:val="00AE539C"/>
    <w:rsid w:val="00AF1F6D"/>
    <w:rsid w:val="00B376B6"/>
    <w:rsid w:val="00B64C70"/>
    <w:rsid w:val="00BA162F"/>
    <w:rsid w:val="00BA54F0"/>
    <w:rsid w:val="00BB5574"/>
    <w:rsid w:val="00BB7A5F"/>
    <w:rsid w:val="00BF0DE4"/>
    <w:rsid w:val="00C00C37"/>
    <w:rsid w:val="00C2389D"/>
    <w:rsid w:val="00C44AEE"/>
    <w:rsid w:val="00C47397"/>
    <w:rsid w:val="00C54169"/>
    <w:rsid w:val="00C5614E"/>
    <w:rsid w:val="00C57C65"/>
    <w:rsid w:val="00C80DF7"/>
    <w:rsid w:val="00CA2627"/>
    <w:rsid w:val="00CA6791"/>
    <w:rsid w:val="00CC4D8D"/>
    <w:rsid w:val="00CD0A51"/>
    <w:rsid w:val="00CD552A"/>
    <w:rsid w:val="00D25814"/>
    <w:rsid w:val="00D406B7"/>
    <w:rsid w:val="00D425B5"/>
    <w:rsid w:val="00D5222B"/>
    <w:rsid w:val="00D63177"/>
    <w:rsid w:val="00D74CA8"/>
    <w:rsid w:val="00D767ED"/>
    <w:rsid w:val="00D83A2D"/>
    <w:rsid w:val="00D928AB"/>
    <w:rsid w:val="00DA1AB6"/>
    <w:rsid w:val="00DA5826"/>
    <w:rsid w:val="00DD7576"/>
    <w:rsid w:val="00DD78E3"/>
    <w:rsid w:val="00DE5DB3"/>
    <w:rsid w:val="00E04E82"/>
    <w:rsid w:val="00E07727"/>
    <w:rsid w:val="00E10EB1"/>
    <w:rsid w:val="00E23D13"/>
    <w:rsid w:val="00E805B5"/>
    <w:rsid w:val="00EA3C26"/>
    <w:rsid w:val="00EA604F"/>
    <w:rsid w:val="00EB6490"/>
    <w:rsid w:val="00ED520A"/>
    <w:rsid w:val="00EE7FCB"/>
    <w:rsid w:val="00F10499"/>
    <w:rsid w:val="00F51D6B"/>
    <w:rsid w:val="00F946B0"/>
    <w:rsid w:val="00F97810"/>
    <w:rsid w:val="00FB6199"/>
    <w:rsid w:val="00FC05B7"/>
    <w:rsid w:val="00FD4AE7"/>
    <w:rsid w:val="00FD7D0E"/>
    <w:rsid w:val="00FF4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9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uiPriority w:val="99"/>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5084E"/>
  </w:style>
  <w:style w:type="character" w:styleId="Lienhypertextesuivivisit">
    <w:name w:val="FollowedHyperlink"/>
    <w:uiPriority w:val="99"/>
    <w:unhideWhenUsed/>
    <w:rsid w:val="00BF0DE4"/>
    <w:rPr>
      <w:color w:val="800080"/>
      <w:u w:val="single"/>
    </w:rPr>
  </w:style>
  <w:style w:type="paragraph" w:customStyle="1" w:styleId="xl71">
    <w:name w:val="xl71"/>
    <w:basedOn w:val="Normal"/>
    <w:rsid w:val="00BF0D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rPr>
  </w:style>
  <w:style w:type="paragraph" w:customStyle="1" w:styleId="xl72">
    <w:name w:val="xl72"/>
    <w:basedOn w:val="Normal"/>
    <w:rsid w:val="00BF0DE4"/>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Times New Roman" w:hAnsi="Times New Roman" w:cs="Times New Roman"/>
      <w:b/>
      <w:bCs/>
      <w:sz w:val="24"/>
    </w:rPr>
  </w:style>
  <w:style w:type="paragraph" w:customStyle="1" w:styleId="xl73">
    <w:name w:val="xl73"/>
    <w:basedOn w:val="Normal"/>
    <w:rsid w:val="00BF0DE4"/>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sz w:val="24"/>
    </w:rPr>
  </w:style>
  <w:style w:type="paragraph" w:customStyle="1" w:styleId="xl74">
    <w:name w:val="xl74"/>
    <w:basedOn w:val="Normal"/>
    <w:rsid w:val="00BF0DE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75">
    <w:name w:val="xl75"/>
    <w:basedOn w:val="Normal"/>
    <w:rsid w:val="00BF0DE4"/>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76">
    <w:name w:val="xl76"/>
    <w:basedOn w:val="Normal"/>
    <w:rsid w:val="00BF0DE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77">
    <w:name w:val="xl77"/>
    <w:basedOn w:val="Normal"/>
    <w:rsid w:val="00BF0DE4"/>
    <w:pPr>
      <w:pBdr>
        <w:left w:val="single" w:sz="4" w:space="0" w:color="auto"/>
        <w:right w:val="single" w:sz="4" w:space="0" w:color="auto"/>
      </w:pBdr>
      <w:spacing w:before="100" w:beforeAutospacing="1" w:after="100" w:afterAutospacing="1"/>
    </w:pPr>
    <w:rPr>
      <w:rFonts w:ascii="Times New Roman" w:hAnsi="Times New Roman" w:cs="Times New Roman"/>
      <w:b/>
      <w:bCs/>
      <w:sz w:val="24"/>
    </w:rPr>
  </w:style>
  <w:style w:type="paragraph" w:customStyle="1" w:styleId="xl78">
    <w:name w:val="xl78"/>
    <w:basedOn w:val="Normal"/>
    <w:rsid w:val="00BF0DE4"/>
    <w:pPr>
      <w:pBdr>
        <w:left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79">
    <w:name w:val="xl79"/>
    <w:basedOn w:val="Normal"/>
    <w:rsid w:val="00BF0DE4"/>
    <w:pPr>
      <w:pBdr>
        <w:left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80">
    <w:name w:val="xl80"/>
    <w:basedOn w:val="Normal"/>
    <w:rsid w:val="00BF0DE4"/>
    <w:pPr>
      <w:pBdr>
        <w:left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1">
    <w:name w:val="xl81"/>
    <w:basedOn w:val="Normal"/>
    <w:rsid w:val="00BF0DE4"/>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rPr>
  </w:style>
  <w:style w:type="paragraph" w:customStyle="1" w:styleId="xl82">
    <w:name w:val="xl82"/>
    <w:basedOn w:val="Normal"/>
    <w:rsid w:val="00BF0DE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3">
    <w:name w:val="xl83"/>
    <w:basedOn w:val="Normal"/>
    <w:rsid w:val="00BF0DE4"/>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84">
    <w:name w:val="xl84"/>
    <w:basedOn w:val="Normal"/>
    <w:rsid w:val="00BF0DE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5">
    <w:name w:val="xl85"/>
    <w:basedOn w:val="Normal"/>
    <w:rsid w:val="00BF0D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6">
    <w:name w:val="xl86"/>
    <w:basedOn w:val="Normal"/>
    <w:rsid w:val="00BF0D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87">
    <w:name w:val="xl87"/>
    <w:basedOn w:val="Normal"/>
    <w:rsid w:val="00BF0D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8">
    <w:name w:val="xl88"/>
    <w:basedOn w:val="Normal"/>
    <w:rsid w:val="00BF0DE4"/>
    <w:pPr>
      <w:shd w:val="clear" w:color="auto" w:fill="E26B0A"/>
      <w:spacing w:before="100" w:beforeAutospacing="1" w:after="100" w:afterAutospacing="1"/>
      <w:jc w:val="center"/>
    </w:pPr>
    <w:rPr>
      <w:rFonts w:ascii="Times New Roman" w:hAnsi="Times New Roman" w:cs="Times New Roman"/>
      <w:b/>
      <w:bCs/>
      <w:sz w:val="32"/>
      <w:szCs w:val="32"/>
    </w:rPr>
  </w:style>
  <w:style w:type="paragraph" w:styleId="Paragraphedeliste">
    <w:name w:val="List Paragraph"/>
    <w:basedOn w:val="Normal"/>
    <w:uiPriority w:val="34"/>
    <w:qFormat/>
    <w:rsid w:val="00D5222B"/>
    <w:pPr>
      <w:ind w:left="708"/>
    </w:pPr>
  </w:style>
  <w:style w:type="paragraph" w:customStyle="1" w:styleId="Default">
    <w:name w:val="Default"/>
    <w:uiPriority w:val="99"/>
    <w:rsid w:val="003B3E92"/>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uiPriority w:val="99"/>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65084E"/>
  </w:style>
  <w:style w:type="character" w:styleId="Lienhypertextesuivivisit">
    <w:name w:val="FollowedHyperlink"/>
    <w:uiPriority w:val="99"/>
    <w:unhideWhenUsed/>
    <w:rsid w:val="00BF0DE4"/>
    <w:rPr>
      <w:color w:val="800080"/>
      <w:u w:val="single"/>
    </w:rPr>
  </w:style>
  <w:style w:type="paragraph" w:customStyle="1" w:styleId="xl71">
    <w:name w:val="xl71"/>
    <w:basedOn w:val="Normal"/>
    <w:rsid w:val="00BF0D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rPr>
  </w:style>
  <w:style w:type="paragraph" w:customStyle="1" w:styleId="xl72">
    <w:name w:val="xl72"/>
    <w:basedOn w:val="Normal"/>
    <w:rsid w:val="00BF0DE4"/>
    <w:pPr>
      <w:pBdr>
        <w:top w:val="single" w:sz="4" w:space="0" w:color="auto"/>
        <w:left w:val="single" w:sz="4" w:space="0" w:color="auto"/>
        <w:bottom w:val="single" w:sz="4" w:space="0" w:color="auto"/>
        <w:right w:val="single" w:sz="4" w:space="0" w:color="auto"/>
      </w:pBdr>
      <w:shd w:val="clear" w:color="auto" w:fill="DCE6F1"/>
      <w:spacing w:before="100" w:beforeAutospacing="1" w:after="100" w:afterAutospacing="1"/>
      <w:jc w:val="center"/>
    </w:pPr>
    <w:rPr>
      <w:rFonts w:ascii="Times New Roman" w:hAnsi="Times New Roman" w:cs="Times New Roman"/>
      <w:b/>
      <w:bCs/>
      <w:sz w:val="24"/>
    </w:rPr>
  </w:style>
  <w:style w:type="paragraph" w:customStyle="1" w:styleId="xl73">
    <w:name w:val="xl73"/>
    <w:basedOn w:val="Normal"/>
    <w:rsid w:val="00BF0DE4"/>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b/>
      <w:bCs/>
      <w:sz w:val="24"/>
    </w:rPr>
  </w:style>
  <w:style w:type="paragraph" w:customStyle="1" w:styleId="xl74">
    <w:name w:val="xl74"/>
    <w:basedOn w:val="Normal"/>
    <w:rsid w:val="00BF0DE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75">
    <w:name w:val="xl75"/>
    <w:basedOn w:val="Normal"/>
    <w:rsid w:val="00BF0DE4"/>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76">
    <w:name w:val="xl76"/>
    <w:basedOn w:val="Normal"/>
    <w:rsid w:val="00BF0DE4"/>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77">
    <w:name w:val="xl77"/>
    <w:basedOn w:val="Normal"/>
    <w:rsid w:val="00BF0DE4"/>
    <w:pPr>
      <w:pBdr>
        <w:left w:val="single" w:sz="4" w:space="0" w:color="auto"/>
        <w:right w:val="single" w:sz="4" w:space="0" w:color="auto"/>
      </w:pBdr>
      <w:spacing w:before="100" w:beforeAutospacing="1" w:after="100" w:afterAutospacing="1"/>
    </w:pPr>
    <w:rPr>
      <w:rFonts w:ascii="Times New Roman" w:hAnsi="Times New Roman" w:cs="Times New Roman"/>
      <w:b/>
      <w:bCs/>
      <w:sz w:val="24"/>
    </w:rPr>
  </w:style>
  <w:style w:type="paragraph" w:customStyle="1" w:styleId="xl78">
    <w:name w:val="xl78"/>
    <w:basedOn w:val="Normal"/>
    <w:rsid w:val="00BF0DE4"/>
    <w:pPr>
      <w:pBdr>
        <w:left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79">
    <w:name w:val="xl79"/>
    <w:basedOn w:val="Normal"/>
    <w:rsid w:val="00BF0DE4"/>
    <w:pPr>
      <w:pBdr>
        <w:left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80">
    <w:name w:val="xl80"/>
    <w:basedOn w:val="Normal"/>
    <w:rsid w:val="00BF0DE4"/>
    <w:pPr>
      <w:pBdr>
        <w:left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1">
    <w:name w:val="xl81"/>
    <w:basedOn w:val="Normal"/>
    <w:rsid w:val="00BF0DE4"/>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sz w:val="24"/>
    </w:rPr>
  </w:style>
  <w:style w:type="paragraph" w:customStyle="1" w:styleId="xl82">
    <w:name w:val="xl82"/>
    <w:basedOn w:val="Normal"/>
    <w:rsid w:val="00BF0DE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3">
    <w:name w:val="xl83"/>
    <w:basedOn w:val="Normal"/>
    <w:rsid w:val="00BF0DE4"/>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84">
    <w:name w:val="xl84"/>
    <w:basedOn w:val="Normal"/>
    <w:rsid w:val="00BF0DE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5">
    <w:name w:val="xl85"/>
    <w:basedOn w:val="Normal"/>
    <w:rsid w:val="00BF0D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6">
    <w:name w:val="xl86"/>
    <w:basedOn w:val="Normal"/>
    <w:rsid w:val="00BF0DE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rPr>
  </w:style>
  <w:style w:type="paragraph" w:customStyle="1" w:styleId="xl87">
    <w:name w:val="xl87"/>
    <w:basedOn w:val="Normal"/>
    <w:rsid w:val="00BF0D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rPr>
  </w:style>
  <w:style w:type="paragraph" w:customStyle="1" w:styleId="xl88">
    <w:name w:val="xl88"/>
    <w:basedOn w:val="Normal"/>
    <w:rsid w:val="00BF0DE4"/>
    <w:pPr>
      <w:shd w:val="clear" w:color="auto" w:fill="E26B0A"/>
      <w:spacing w:before="100" w:beforeAutospacing="1" w:after="100" w:afterAutospacing="1"/>
      <w:jc w:val="center"/>
    </w:pPr>
    <w:rPr>
      <w:rFonts w:ascii="Times New Roman" w:hAnsi="Times New Roman" w:cs="Times New Roman"/>
      <w:b/>
      <w:bCs/>
      <w:sz w:val="32"/>
      <w:szCs w:val="32"/>
    </w:rPr>
  </w:style>
  <w:style w:type="paragraph" w:styleId="Paragraphedeliste">
    <w:name w:val="List Paragraph"/>
    <w:basedOn w:val="Normal"/>
    <w:uiPriority w:val="34"/>
    <w:qFormat/>
    <w:rsid w:val="00D5222B"/>
    <w:pPr>
      <w:ind w:left="708"/>
    </w:pPr>
  </w:style>
  <w:style w:type="paragraph" w:customStyle="1" w:styleId="Default">
    <w:name w:val="Default"/>
    <w:uiPriority w:val="99"/>
    <w:rsid w:val="003B3E92"/>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7453">
      <w:bodyDiv w:val="1"/>
      <w:marLeft w:val="0"/>
      <w:marRight w:val="0"/>
      <w:marTop w:val="0"/>
      <w:marBottom w:val="0"/>
      <w:divBdr>
        <w:top w:val="none" w:sz="0" w:space="0" w:color="auto"/>
        <w:left w:val="none" w:sz="0" w:space="0" w:color="auto"/>
        <w:bottom w:val="none" w:sz="0" w:space="0" w:color="auto"/>
        <w:right w:val="none" w:sz="0" w:space="0" w:color="auto"/>
      </w:divBdr>
    </w:div>
    <w:div w:id="846099248">
      <w:bodyDiv w:val="1"/>
      <w:marLeft w:val="0"/>
      <w:marRight w:val="0"/>
      <w:marTop w:val="0"/>
      <w:marBottom w:val="0"/>
      <w:divBdr>
        <w:top w:val="none" w:sz="0" w:space="0" w:color="auto"/>
        <w:left w:val="none" w:sz="0" w:space="0" w:color="auto"/>
        <w:bottom w:val="none" w:sz="0" w:space="0" w:color="auto"/>
        <w:right w:val="none" w:sz="0" w:space="0" w:color="auto"/>
      </w:divBdr>
    </w:div>
    <w:div w:id="1010180851">
      <w:bodyDiv w:val="1"/>
      <w:marLeft w:val="0"/>
      <w:marRight w:val="0"/>
      <w:marTop w:val="0"/>
      <w:marBottom w:val="0"/>
      <w:divBdr>
        <w:top w:val="none" w:sz="0" w:space="0" w:color="auto"/>
        <w:left w:val="none" w:sz="0" w:space="0" w:color="auto"/>
        <w:bottom w:val="none" w:sz="0" w:space="0" w:color="auto"/>
        <w:right w:val="none" w:sz="0" w:space="0" w:color="auto"/>
      </w:divBdr>
    </w:div>
    <w:div w:id="1257978176">
      <w:bodyDiv w:val="1"/>
      <w:marLeft w:val="0"/>
      <w:marRight w:val="0"/>
      <w:marTop w:val="0"/>
      <w:marBottom w:val="0"/>
      <w:divBdr>
        <w:top w:val="none" w:sz="0" w:space="0" w:color="auto"/>
        <w:left w:val="none" w:sz="0" w:space="0" w:color="auto"/>
        <w:bottom w:val="none" w:sz="0" w:space="0" w:color="auto"/>
        <w:right w:val="none" w:sz="0" w:space="0" w:color="auto"/>
      </w:divBdr>
    </w:div>
    <w:div w:id="1715960585">
      <w:bodyDiv w:val="1"/>
      <w:marLeft w:val="0"/>
      <w:marRight w:val="0"/>
      <w:marTop w:val="0"/>
      <w:marBottom w:val="0"/>
      <w:divBdr>
        <w:top w:val="none" w:sz="0" w:space="0" w:color="auto"/>
        <w:left w:val="none" w:sz="0" w:space="0" w:color="auto"/>
        <w:bottom w:val="none" w:sz="0" w:space="0" w:color="auto"/>
        <w:right w:val="none" w:sz="0" w:space="0" w:color="auto"/>
      </w:divBdr>
    </w:div>
    <w:div w:id="2060126084">
      <w:bodyDiv w:val="1"/>
      <w:marLeft w:val="0"/>
      <w:marRight w:val="0"/>
      <w:marTop w:val="0"/>
      <w:marBottom w:val="0"/>
      <w:divBdr>
        <w:top w:val="none" w:sz="0" w:space="0" w:color="auto"/>
        <w:left w:val="none" w:sz="0" w:space="0" w:color="auto"/>
        <w:bottom w:val="none" w:sz="0" w:space="0" w:color="auto"/>
        <w:right w:val="none" w:sz="0" w:space="0" w:color="auto"/>
      </w:divBdr>
    </w:div>
    <w:div w:id="2071224901">
      <w:bodyDiv w:val="1"/>
      <w:marLeft w:val="0"/>
      <w:marRight w:val="0"/>
      <w:marTop w:val="0"/>
      <w:marBottom w:val="0"/>
      <w:divBdr>
        <w:top w:val="none" w:sz="0" w:space="0" w:color="auto"/>
        <w:left w:val="none" w:sz="0" w:space="0" w:color="auto"/>
        <w:bottom w:val="none" w:sz="0" w:space="0" w:color="auto"/>
        <w:right w:val="none" w:sz="0" w:space="0" w:color="auto"/>
      </w:divBdr>
    </w:div>
    <w:div w:id="207712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lidarites-sante.gouv.fr/IMG/pdf/spf0b001001_coronavirus_signes_graves_400x600_fr_md.pdf" TargetMode="External"/><Relationship Id="rId18" Type="http://schemas.openxmlformats.org/officeDocument/2006/relationships/hyperlink" Target="https://www.gouvernement.fr/info-coronaviru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olidarites-sante.gouv.fr/IMG/pdf/spf0b001001_coronavirus_signes_benins_400x600_fr_md.pdf" TargetMode="External"/><Relationship Id="rId17" Type="http://schemas.openxmlformats.org/officeDocument/2006/relationships/hyperlink" Target="http://www.paca.ars.sante.fr"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dgs-urgent.sante.gouv.fr/dgsurgent/inter/inscription.do?cmd=inscriptionFormulai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olidarites-sante.gouv.fr/actualites/presse/communiques-de-presse/article/communique-de-presse-covid-19-strategie-de-gestion-et-d-utilisation-des-masque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ante.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olidarites-sante.gouv.fr/IMG/pdf/empoi_des_masques.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paca.ars.sante.fr/"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paca.ars.sante.fr/"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689A-1B61-4A89-B3CF-E127CFBA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1850</Words>
  <Characters>10179</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Note sur le zonage applicable à la profession de sage-femme</vt:lpstr>
    </vt:vector>
  </TitlesOfParts>
  <Company>Ministère de la Santé</Company>
  <LinksUpToDate>false</LinksUpToDate>
  <CharactersWithSpaces>12005</CharactersWithSpaces>
  <SharedDoc>false</SharedDoc>
  <HLinks>
    <vt:vector size="42" baseType="variant">
      <vt:variant>
        <vt:i4>1900564</vt:i4>
      </vt:variant>
      <vt:variant>
        <vt:i4>38</vt:i4>
      </vt:variant>
      <vt:variant>
        <vt:i4>0</vt:i4>
      </vt:variant>
      <vt:variant>
        <vt:i4>5</vt:i4>
      </vt:variant>
      <vt:variant>
        <vt:lpwstr>http://www.sante.gouv.fr/</vt:lpwstr>
      </vt:variant>
      <vt:variant>
        <vt:lpwstr/>
      </vt:variant>
      <vt:variant>
        <vt:i4>1507417</vt:i4>
      </vt:variant>
      <vt:variant>
        <vt:i4>35</vt:i4>
      </vt:variant>
      <vt:variant>
        <vt:i4>0</vt:i4>
      </vt:variant>
      <vt:variant>
        <vt:i4>5</vt:i4>
      </vt:variant>
      <vt:variant>
        <vt:lpwstr>https://www.gouvernement.fr/info-coronavirus</vt:lpwstr>
      </vt:variant>
      <vt:variant>
        <vt:lpwstr/>
      </vt:variant>
      <vt:variant>
        <vt:i4>196700</vt:i4>
      </vt:variant>
      <vt:variant>
        <vt:i4>32</vt:i4>
      </vt:variant>
      <vt:variant>
        <vt:i4>0</vt:i4>
      </vt:variant>
      <vt:variant>
        <vt:i4>5</vt:i4>
      </vt:variant>
      <vt:variant>
        <vt:lpwstr>http://www.paca.ars.sante.fr/</vt:lpwstr>
      </vt:variant>
      <vt:variant>
        <vt:lpwstr/>
      </vt:variant>
      <vt:variant>
        <vt:i4>786527</vt:i4>
      </vt:variant>
      <vt:variant>
        <vt:i4>29</vt:i4>
      </vt:variant>
      <vt:variant>
        <vt:i4>0</vt:i4>
      </vt:variant>
      <vt:variant>
        <vt:i4>5</vt:i4>
      </vt:variant>
      <vt:variant>
        <vt:lpwstr>https://dgs-urgent.sante.gouv.fr/dgsurgent/inter/inscription.do?cmd=inscriptionFormulaire</vt:lpwstr>
      </vt:variant>
      <vt:variant>
        <vt:lpwstr/>
      </vt:variant>
      <vt:variant>
        <vt:i4>7143523</vt:i4>
      </vt:variant>
      <vt:variant>
        <vt:i4>26</vt:i4>
      </vt:variant>
      <vt:variant>
        <vt:i4>0</vt:i4>
      </vt:variant>
      <vt:variant>
        <vt:i4>5</vt:i4>
      </vt:variant>
      <vt:variant>
        <vt:lpwstr>https://solidarites-sante.gouv.fr/IMG/pdf/empoi_des_masques.pdf</vt:lpwstr>
      </vt:variant>
      <vt:variant>
        <vt:lpwstr/>
      </vt:variant>
      <vt:variant>
        <vt:i4>7012456</vt:i4>
      </vt:variant>
      <vt:variant>
        <vt:i4>9</vt:i4>
      </vt:variant>
      <vt:variant>
        <vt:i4>0</vt:i4>
      </vt:variant>
      <vt:variant>
        <vt:i4>5</vt:i4>
      </vt:variant>
      <vt:variant>
        <vt:lpwstr>https://www.paca.ars.sante.fr/</vt:lpwstr>
      </vt:variant>
      <vt:variant>
        <vt:lpwstr/>
      </vt:variant>
      <vt:variant>
        <vt:i4>7012456</vt:i4>
      </vt:variant>
      <vt:variant>
        <vt:i4>0</vt:i4>
      </vt:variant>
      <vt:variant>
        <vt:i4>0</vt:i4>
      </vt:variant>
      <vt:variant>
        <vt:i4>5</vt:i4>
      </vt:variant>
      <vt:variant>
        <vt:lpwstr>https://www.paca.ars.sante.fr/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sur le zonage applicable à la profession de sage-femme</dc:title>
  <dc:creator>*</dc:creator>
  <cp:lastModifiedBy>Config</cp:lastModifiedBy>
  <cp:revision>5</cp:revision>
  <cp:lastPrinted>2020-01-14T14:33:00Z</cp:lastPrinted>
  <dcterms:created xsi:type="dcterms:W3CDTF">2020-03-15T21:03:00Z</dcterms:created>
  <dcterms:modified xsi:type="dcterms:W3CDTF">2020-03-15T21:56:00Z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L_REFERENCE">
    <vt:lpwstr/>
  </property>
  <property fmtid="{D5CDD505-2E9C-101B-9397-08002B2CF9AE}" pid="3" name="_EL_NO_CHRONO">
    <vt:lpwstr>DSDP-0120-0263-D</vt:lpwstr>
  </property>
  <property fmtid="{D5CDD505-2E9C-101B-9397-08002B2CF9AE}" pid="4" name="_EL_REDACTEUR">
    <vt:lpwstr>SALAUN, Charlotte</vt:lpwstr>
  </property>
  <property fmtid="{D5CDD505-2E9C-101B-9397-08002B2CF9AE}" pid="5" name="_EL_DATE_COURRIER">
    <vt:lpwstr>10 janvier 2020</vt:lpwstr>
  </property>
  <property fmtid="{D5CDD505-2E9C-101B-9397-08002B2CF9AE}" pid="6" name="_EL_NOM">
    <vt:lpwstr/>
  </property>
  <property fmtid="{D5CDD505-2E9C-101B-9397-08002B2CF9AE}" pid="7" name="_EL_CIVILITE">
    <vt:lpwstr/>
  </property>
  <property fmtid="{D5CDD505-2E9C-101B-9397-08002B2CF9AE}" pid="8" name="_EL_PRIORITE">
    <vt:lpwstr>Normal</vt:lpwstr>
  </property>
  <property fmtid="{D5CDD505-2E9C-101B-9397-08002B2CF9AE}" pid="9" name="_EL_CONFIDENTIALITE">
    <vt:lpwstr>Normal</vt:lpwstr>
  </property>
  <property fmtid="{D5CDD505-2E9C-101B-9397-08002B2CF9AE}" pid="10" name="_EL_SIGNATAIRE">
    <vt:lpwstr>DSDP-Direction des soins de proximité</vt:lpwstr>
  </property>
  <property fmtid="{D5CDD505-2E9C-101B-9397-08002B2CF9AE}" pid="11" name="_EL_REFERENCE_COURRIER_ARRIVE">
    <vt:lpwstr/>
  </property>
  <property fmtid="{D5CDD505-2E9C-101B-9397-08002B2CF9AE}" pid="12" name="_EL_DATE_COURRIER_ARRIVE">
    <vt:lpwstr/>
  </property>
  <property fmtid="{D5CDD505-2E9C-101B-9397-08002B2CF9AE}" pid="13" name="_EL_CHRONO_COURRIER_ARRIVE">
    <vt:lpwstr/>
  </property>
  <property fmtid="{D5CDD505-2E9C-101B-9397-08002B2CF9AE}" pid="14" name="_EL_SERVICE_REDACTEUR">
    <vt:lpwstr>DSDP-Direction des soins de proximité</vt:lpwstr>
  </property>
  <property fmtid="{D5CDD505-2E9C-101B-9397-08002B2CF9AE}" pid="15" name="Tel_redacteur">
    <vt:lpwstr>xxxxxxxx</vt:lpwstr>
  </property>
  <property fmtid="{D5CDD505-2E9C-101B-9397-08002B2CF9AE}" pid="16" name="Fax_redacteur">
    <vt:lpwstr>xxxxxxxx</vt:lpwstr>
  </property>
  <property fmtid="{D5CDD505-2E9C-101B-9397-08002B2CF9AE}" pid="17" name="Email_redacteur">
    <vt:lpwstr>nom@domaine.com</vt:lpwstr>
  </property>
  <property fmtid="{D5CDD505-2E9C-101B-9397-08002B2CF9AE}" pid="18" name="Direction_redacteur">
    <vt:lpwstr>Votre direction</vt:lpwstr>
  </property>
  <property fmtid="{D5CDD505-2E9C-101B-9397-08002B2CF9AE}" pid="19" name="EIdSim">
    <vt:lpwstr>COURRIERS_270648</vt:lpwstr>
  </property>
  <property fmtid="{D5CDD505-2E9C-101B-9397-08002B2CF9AE}" pid="20" name="_EL_PERSO_SERVICE">
    <vt:lpwstr/>
  </property>
</Properties>
</file>