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D8" w:rsidRDefault="00AB34D8" w:rsidP="00AB34D8">
      <w:pPr>
        <w:ind w:left="426" w:right="2551"/>
        <w:jc w:val="both"/>
        <w:rPr>
          <w:b/>
          <w:bCs/>
          <w:sz w:val="21"/>
          <w:szCs w:val="21"/>
        </w:rPr>
      </w:pPr>
      <w:r>
        <w:rPr>
          <w:noProof/>
          <w:lang w:eastAsia="fr-FR"/>
        </w:rPr>
        <w:drawing>
          <wp:anchor distT="0" distB="1905" distL="114300" distR="116205" simplePos="0" relativeHeight="251660288" behindDoc="1" locked="0" layoutInCell="1" allowOverlap="1" wp14:anchorId="06BEBC07" wp14:editId="5E401216">
            <wp:simplePos x="0" y="0"/>
            <wp:positionH relativeFrom="column">
              <wp:posOffset>4899396</wp:posOffset>
            </wp:positionH>
            <wp:positionV relativeFrom="paragraph">
              <wp:posOffset>57150</wp:posOffset>
            </wp:positionV>
            <wp:extent cx="974785" cy="565784"/>
            <wp:effectExtent l="0" t="0" r="0" b="6350"/>
            <wp:wrapNone/>
            <wp:docPr id="2" name="Image 2" descr="U:\ORGANISATION\CABINET\SCOM\COMMUN\COM\BOITE_A_OUTILS\Logos\LOGOS ARS PACA\ARS-LOGO-BLANC\ARS_LOGOS_PACA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ORGANISATION\CABINET\SCOM\COMMUN\COM\BOITE_A_OUTILS\Logos\LOGOS ARS PACA\ARS-LOGO-BLANC\ARS_LOGOS_PACA_72dpi.png"/>
                    <pic:cNvPicPr>
                      <a:picLocks noChangeAspect="1" noChangeArrowheads="1"/>
                    </pic:cNvPicPr>
                  </pic:nvPicPr>
                  <pic:blipFill>
                    <a:blip r:embed="rId7"/>
                    <a:stretch>
                      <a:fillRect/>
                    </a:stretch>
                  </pic:blipFill>
                  <pic:spPr bwMode="auto">
                    <a:xfrm>
                      <a:off x="0" y="0"/>
                      <a:ext cx="974785" cy="565784"/>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51C9B9F5" wp14:editId="42EFDB59">
                <wp:simplePos x="0" y="0"/>
                <wp:positionH relativeFrom="column">
                  <wp:posOffset>-399463</wp:posOffset>
                </wp:positionH>
                <wp:positionV relativeFrom="paragraph">
                  <wp:posOffset>-252814</wp:posOffset>
                </wp:positionV>
                <wp:extent cx="6546960" cy="1742536"/>
                <wp:effectExtent l="0" t="0" r="6350" b="0"/>
                <wp:wrapNone/>
                <wp:docPr id="1" name="Rectangle 1"/>
                <wp:cNvGraphicFramePr/>
                <a:graphic xmlns:a="http://schemas.openxmlformats.org/drawingml/2006/main">
                  <a:graphicData uri="http://schemas.microsoft.com/office/word/2010/wordprocessingShape">
                    <wps:wsp>
                      <wps:cNvSpPr/>
                      <wps:spPr>
                        <a:xfrm>
                          <a:off x="0" y="0"/>
                          <a:ext cx="6546960" cy="1742536"/>
                        </a:xfrm>
                        <a:prstGeom prst="rect">
                          <a:avLst/>
                        </a:prstGeom>
                        <a:solidFill>
                          <a:srgbClr val="002E69"/>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V relativeFrom="margin">
                  <wp14:pctHeight>0</wp14:pctHeight>
                </wp14:sizeRelV>
              </wp:anchor>
            </w:drawing>
          </mc:Choice>
          <mc:Fallback>
            <w:pict>
              <v:rect id="Rectangle 1" o:spid="_x0000_s1026" style="position:absolute;margin-left:-31.45pt;margin-top:-19.9pt;width:515.5pt;height:13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" fillcolor="#002e69" stroked="f" strokeweight="2pt"/>
            </w:pict>
          </mc:Fallback>
        </mc:AlternateContent>
      </w:r>
      <w:r w:rsidRPr="00AB34D8">
        <w:rPr>
          <w:rFonts w:ascii="Gill Sans MT" w:hAnsi="Gill Sans MT"/>
          <w:bCs/>
          <w:color w:val="FFFFFF" w:themeColor="background1"/>
          <w:sz w:val="36"/>
          <w:lang w:eastAsia="fr-FR"/>
        </w:rPr>
        <w:t>Recommandations à l’attention du médecin qui constate le décès d’un patient à domicile, y compris en HAD et en EHPAD, dans le cadre de l’épidémie de COVID 19</w:t>
      </w:r>
    </w:p>
    <w:p w:rsidR="00AB34D8" w:rsidRDefault="00AB34D8" w:rsidP="00AF79E1">
      <w:pPr>
        <w:pStyle w:val="Default"/>
        <w:jc w:val="center"/>
        <w:rPr>
          <w:b/>
          <w:bCs/>
          <w:sz w:val="21"/>
          <w:szCs w:val="21"/>
        </w:rPr>
      </w:pPr>
    </w:p>
    <w:p w:rsidR="00AB34D8" w:rsidRDefault="00AB34D8" w:rsidP="00AF79E1">
      <w:pPr>
        <w:pStyle w:val="Default"/>
        <w:jc w:val="center"/>
        <w:rPr>
          <w:b/>
          <w:bCs/>
          <w:sz w:val="21"/>
          <w:szCs w:val="21"/>
        </w:rPr>
      </w:pPr>
    </w:p>
    <w:p w:rsidR="00AF79E1" w:rsidRDefault="00AF79E1" w:rsidP="00AF79E1">
      <w:pPr>
        <w:pStyle w:val="Default"/>
        <w:rPr>
          <w:rFonts w:ascii="Calibri" w:hAnsi="Calibri" w:cs="Calibri"/>
          <w:color w:val="1F497D"/>
          <w:sz w:val="22"/>
          <w:szCs w:val="22"/>
        </w:rPr>
      </w:pPr>
    </w:p>
    <w:p w:rsidR="00AF79E1" w:rsidRPr="00AB34D8" w:rsidRDefault="00AF79E1" w:rsidP="00AF79E1">
      <w:pPr>
        <w:pStyle w:val="Default"/>
        <w:jc w:val="both"/>
        <w:rPr>
          <w:rFonts w:ascii="Gill Sans MT" w:hAnsi="Gill Sans MT"/>
          <w:color w:val="auto"/>
          <w:sz w:val="22"/>
          <w:szCs w:val="22"/>
        </w:rPr>
      </w:pPr>
      <w:r w:rsidRPr="00AB34D8">
        <w:rPr>
          <w:rFonts w:ascii="Gill Sans MT" w:hAnsi="Gill Sans MT"/>
          <w:color w:val="auto"/>
          <w:sz w:val="22"/>
          <w:szCs w:val="22"/>
        </w:rPr>
        <w:t>Le décret 2020-384 du 1er avril 2020 complète le décret no 2020-293 du 23 mars 2020 prescrivant les mesures générales nécessaires pour faire face à l’épidémie de covid-19 dans le cadre de l’état d’urgence sanitaire.</w:t>
      </w:r>
    </w:p>
    <w:p w:rsidR="00795BBE" w:rsidRPr="00AB34D8" w:rsidRDefault="00AF79E1" w:rsidP="00795BBE">
      <w:pPr>
        <w:pStyle w:val="default0"/>
        <w:shd w:val="clear" w:color="auto" w:fill="FFFFFF"/>
        <w:rPr>
          <w:rFonts w:ascii="Gill Sans MT" w:hAnsi="Gill Sans MT"/>
          <w:color w:val="auto"/>
          <w:sz w:val="22"/>
          <w:szCs w:val="22"/>
        </w:rPr>
      </w:pPr>
      <w:r w:rsidRPr="00AB34D8">
        <w:rPr>
          <w:rFonts w:ascii="Gill Sans MT" w:hAnsi="Gill Sans MT"/>
          <w:color w:val="auto"/>
          <w:sz w:val="22"/>
          <w:szCs w:val="22"/>
        </w:rPr>
        <w:t xml:space="preserve">Il interdit les soins de conservation </w:t>
      </w:r>
      <w:r w:rsidR="00795BBE" w:rsidRPr="00AB34D8">
        <w:rPr>
          <w:rFonts w:ascii="Gill Sans MT" w:hAnsi="Gill Sans MT"/>
          <w:color w:val="auto"/>
          <w:sz w:val="22"/>
          <w:szCs w:val="22"/>
          <w:shd w:val="clear" w:color="auto" w:fill="FFFFFF"/>
        </w:rPr>
        <w:t xml:space="preserve">(ou autrement appelés de thanatopraxie) </w:t>
      </w:r>
      <w:r w:rsidRPr="00AB34D8">
        <w:rPr>
          <w:rFonts w:ascii="Gill Sans MT" w:hAnsi="Gill Sans MT"/>
          <w:color w:val="auto"/>
          <w:sz w:val="22"/>
          <w:szCs w:val="22"/>
        </w:rPr>
        <w:t xml:space="preserve">définis à l’article L. 2223-19-1 du code général des collectivités territoriales sur le corps </w:t>
      </w:r>
      <w:r w:rsidRPr="00AB34D8">
        <w:rPr>
          <w:rFonts w:ascii="Gill Sans MT" w:hAnsi="Gill Sans MT"/>
          <w:color w:val="auto"/>
          <w:sz w:val="22"/>
          <w:szCs w:val="22"/>
          <w:u w:val="single"/>
        </w:rPr>
        <w:t>de</w:t>
      </w:r>
      <w:r w:rsidR="00795BBE" w:rsidRPr="00AB34D8">
        <w:rPr>
          <w:rFonts w:ascii="Gill Sans MT" w:hAnsi="Gill Sans MT"/>
          <w:color w:val="auto"/>
          <w:sz w:val="22"/>
          <w:szCs w:val="22"/>
          <w:u w:val="single"/>
        </w:rPr>
        <w:t xml:space="preserve"> toutes les personnes décédées durant la phase épidémique.</w:t>
      </w:r>
      <w:r w:rsidR="00795BBE" w:rsidRPr="00AB34D8">
        <w:rPr>
          <w:rFonts w:ascii="Gill Sans MT" w:hAnsi="Gill Sans MT"/>
          <w:color w:val="auto"/>
          <w:sz w:val="22"/>
          <w:szCs w:val="22"/>
        </w:rPr>
        <w:t xml:space="preserve"> L’arrêté du 28 mars 2020 prescrit cette interdiction de façon pérenne pour les cas confirmés de COVID 19.</w:t>
      </w:r>
    </w:p>
    <w:p w:rsidR="00AF79E1" w:rsidRPr="00AB34D8" w:rsidRDefault="00AF79E1" w:rsidP="00AF79E1">
      <w:pPr>
        <w:pStyle w:val="Default"/>
        <w:jc w:val="both"/>
        <w:rPr>
          <w:rFonts w:ascii="Gill Sans MT" w:hAnsi="Gill Sans MT"/>
          <w:color w:val="auto"/>
          <w:sz w:val="22"/>
          <w:szCs w:val="22"/>
          <w:u w:val="single"/>
        </w:rPr>
      </w:pPr>
    </w:p>
    <w:p w:rsidR="00AF79E1" w:rsidRPr="00AB34D8" w:rsidRDefault="00AF79E1" w:rsidP="00AF79E1">
      <w:pPr>
        <w:pStyle w:val="Default"/>
        <w:jc w:val="both"/>
        <w:rPr>
          <w:rFonts w:ascii="Gill Sans MT" w:hAnsi="Gill Sans MT"/>
          <w:color w:val="auto"/>
          <w:sz w:val="22"/>
          <w:szCs w:val="22"/>
        </w:rPr>
      </w:pPr>
      <w:r w:rsidRPr="00AB34D8">
        <w:rPr>
          <w:rFonts w:ascii="Gill Sans MT" w:hAnsi="Gill Sans MT"/>
          <w:color w:val="auto"/>
          <w:sz w:val="22"/>
          <w:szCs w:val="22"/>
        </w:rPr>
        <w:t xml:space="preserve">Il précise de plus que les défunts atteints ou probablement atteints du covid-19 au moment de leur décès font l’objet d’une mise en bière immédiate (interdisant de facto un don du corps à la science). </w:t>
      </w:r>
    </w:p>
    <w:p w:rsidR="00AF79E1" w:rsidRPr="00AB34D8" w:rsidRDefault="00AF79E1" w:rsidP="00AF79E1">
      <w:pPr>
        <w:pStyle w:val="Default"/>
        <w:jc w:val="both"/>
        <w:rPr>
          <w:rFonts w:ascii="Gill Sans MT" w:hAnsi="Gill Sans MT"/>
          <w:color w:val="auto"/>
          <w:sz w:val="22"/>
          <w:szCs w:val="22"/>
          <w:u w:val="single"/>
        </w:rPr>
      </w:pPr>
      <w:r w:rsidRPr="00AB34D8">
        <w:rPr>
          <w:rFonts w:ascii="Gill Sans MT" w:hAnsi="Gill Sans MT"/>
          <w:color w:val="auto"/>
          <w:sz w:val="22"/>
          <w:szCs w:val="22"/>
        </w:rPr>
        <w:t>La pratique de la toilette mortuaire, y compris rituelle, est interdite pour ces défunts.</w:t>
      </w:r>
    </w:p>
    <w:p w:rsidR="00AF79E1" w:rsidRPr="00AB34D8" w:rsidRDefault="00AF79E1" w:rsidP="00AF79E1">
      <w:pPr>
        <w:pStyle w:val="Default"/>
        <w:jc w:val="both"/>
        <w:rPr>
          <w:rFonts w:ascii="Gill Sans MT" w:hAnsi="Gill Sans MT"/>
          <w:color w:val="auto"/>
          <w:sz w:val="22"/>
          <w:szCs w:val="22"/>
        </w:rPr>
      </w:pPr>
    </w:p>
    <w:p w:rsidR="00AF79E1" w:rsidRPr="00AB34D8" w:rsidRDefault="00AF79E1" w:rsidP="00AF79E1">
      <w:pPr>
        <w:pStyle w:val="Default"/>
        <w:jc w:val="both"/>
        <w:rPr>
          <w:rFonts w:ascii="Gill Sans MT" w:hAnsi="Gill Sans MT"/>
          <w:b/>
          <w:color w:val="auto"/>
          <w:sz w:val="22"/>
          <w:szCs w:val="22"/>
        </w:rPr>
      </w:pPr>
      <w:r w:rsidRPr="00AB34D8">
        <w:rPr>
          <w:rFonts w:ascii="Gill Sans MT" w:hAnsi="Gill Sans MT"/>
          <w:b/>
          <w:color w:val="auto"/>
          <w:sz w:val="22"/>
          <w:szCs w:val="22"/>
        </w:rPr>
        <w:t xml:space="preserve">Recommandations pour l’élaboration des certificats de décès au domicile du patient :  </w:t>
      </w:r>
    </w:p>
    <w:p w:rsidR="00AF79E1" w:rsidRPr="00AB34D8" w:rsidRDefault="00AF79E1" w:rsidP="00AF79E1">
      <w:pPr>
        <w:pStyle w:val="Default"/>
        <w:jc w:val="both"/>
        <w:rPr>
          <w:rFonts w:ascii="Gill Sans MT" w:hAnsi="Gill Sans MT"/>
          <w:color w:val="auto"/>
          <w:sz w:val="22"/>
          <w:szCs w:val="22"/>
        </w:rPr>
      </w:pPr>
    </w:p>
    <w:p w:rsidR="00AF79E1" w:rsidRPr="00AB34D8" w:rsidRDefault="00AF79E1" w:rsidP="00AF79E1">
      <w:pPr>
        <w:pStyle w:val="Default"/>
        <w:numPr>
          <w:ilvl w:val="0"/>
          <w:numId w:val="1"/>
        </w:numPr>
        <w:jc w:val="both"/>
        <w:rPr>
          <w:rFonts w:ascii="Gill Sans MT" w:hAnsi="Gill Sans MT" w:cs="Calibri"/>
          <w:color w:val="auto"/>
          <w:sz w:val="22"/>
          <w:szCs w:val="22"/>
        </w:rPr>
      </w:pPr>
      <w:r w:rsidRPr="00AB34D8">
        <w:rPr>
          <w:rFonts w:ascii="Gill Sans MT" w:hAnsi="Gill Sans MT"/>
          <w:color w:val="auto"/>
          <w:sz w:val="22"/>
          <w:szCs w:val="22"/>
        </w:rPr>
        <w:t>Le médecin doit systématiquement appliquer les précautions standard et complémentaires de type gouttelettes et contact, c'est-à-dire a minima port d’un masque chirurgical et de gants à usage unique.</w:t>
      </w:r>
    </w:p>
    <w:p w:rsidR="00AF79E1" w:rsidRPr="00AB34D8" w:rsidRDefault="00AF79E1" w:rsidP="00AF79E1">
      <w:pPr>
        <w:pStyle w:val="Default"/>
        <w:ind w:left="720"/>
        <w:jc w:val="both"/>
        <w:rPr>
          <w:rFonts w:ascii="Gill Sans MT" w:hAnsi="Gill Sans MT" w:cs="Calibri"/>
          <w:color w:val="auto"/>
          <w:sz w:val="22"/>
          <w:szCs w:val="22"/>
        </w:rPr>
      </w:pPr>
    </w:p>
    <w:p w:rsidR="00AF79E1" w:rsidRPr="00AB34D8" w:rsidRDefault="00AF79E1" w:rsidP="00AF79E1">
      <w:pPr>
        <w:pStyle w:val="Default"/>
        <w:numPr>
          <w:ilvl w:val="0"/>
          <w:numId w:val="1"/>
        </w:numPr>
        <w:jc w:val="both"/>
        <w:rPr>
          <w:rFonts w:ascii="Gill Sans MT" w:hAnsi="Gill Sans MT" w:cs="Calibri"/>
          <w:color w:val="auto"/>
          <w:sz w:val="22"/>
          <w:szCs w:val="22"/>
        </w:rPr>
      </w:pPr>
      <w:r w:rsidRPr="00AB34D8">
        <w:rPr>
          <w:rFonts w:ascii="Gill Sans MT" w:hAnsi="Gill Sans MT"/>
          <w:color w:val="auto"/>
          <w:sz w:val="22"/>
          <w:szCs w:val="22"/>
        </w:rPr>
        <w:t>Lors du remplissage du certificat de décès, il doit </w:t>
      </w:r>
      <w:r w:rsidRPr="00AB34D8">
        <w:rPr>
          <w:rFonts w:ascii="Gill Sans MT" w:hAnsi="Gill Sans MT"/>
          <w:color w:val="auto"/>
          <w:sz w:val="22"/>
          <w:szCs w:val="22"/>
          <w:u w:val="single"/>
        </w:rPr>
        <w:t xml:space="preserve">pour tout patient </w:t>
      </w:r>
      <w:r w:rsidRPr="00AB34D8">
        <w:rPr>
          <w:rFonts w:ascii="Gill Sans MT" w:hAnsi="Gill Sans MT"/>
          <w:color w:val="auto"/>
          <w:sz w:val="22"/>
          <w:szCs w:val="22"/>
        </w:rPr>
        <w:t>:</w:t>
      </w:r>
    </w:p>
    <w:p w:rsidR="00AF79E1" w:rsidRPr="00AB34D8" w:rsidRDefault="00AF79E1" w:rsidP="00AF79E1">
      <w:pPr>
        <w:pStyle w:val="Default"/>
        <w:jc w:val="both"/>
        <w:rPr>
          <w:rFonts w:ascii="Gill Sans MT" w:hAnsi="Gill Sans MT" w:cs="Calibri"/>
          <w:color w:val="auto"/>
          <w:sz w:val="22"/>
          <w:szCs w:val="22"/>
        </w:rPr>
      </w:pPr>
    </w:p>
    <w:p w:rsidR="00AF79E1" w:rsidRPr="00AB34D8" w:rsidRDefault="00AF79E1" w:rsidP="00AF79E1">
      <w:pPr>
        <w:pStyle w:val="Default"/>
        <w:numPr>
          <w:ilvl w:val="1"/>
          <w:numId w:val="1"/>
        </w:numPr>
        <w:jc w:val="both"/>
        <w:rPr>
          <w:rFonts w:ascii="Gill Sans MT" w:hAnsi="Gill Sans MT"/>
          <w:color w:val="auto"/>
          <w:sz w:val="22"/>
          <w:szCs w:val="22"/>
        </w:rPr>
      </w:pPr>
      <w:r w:rsidRPr="00AB34D8">
        <w:rPr>
          <w:rFonts w:ascii="Gill Sans MT" w:hAnsi="Gill Sans MT"/>
          <w:color w:val="auto"/>
          <w:sz w:val="22"/>
          <w:szCs w:val="22"/>
        </w:rPr>
        <w:t>Cocher la case « Obstacle aux soins de conservation » et si le patient est porteur d’une prothèse fonctionnant au moyen d’une pile, remplir le chapitre concerné. Les prothèses fonctionnant au moyen d’une pile (pacemaker notamment) seront explantées, dans la chambre funéraire, par un thanatopracteur équipé des équipements de protection adaptés</w:t>
      </w:r>
      <w:r w:rsidR="00795BBE" w:rsidRPr="00AB34D8">
        <w:rPr>
          <w:rFonts w:ascii="Gill Sans MT" w:hAnsi="Gill Sans MT"/>
          <w:color w:val="auto"/>
          <w:sz w:val="22"/>
          <w:szCs w:val="22"/>
        </w:rPr>
        <w:t xml:space="preserve"> (lunettes, masque chirurgical, tablier anti-projection, gants</w:t>
      </w:r>
      <w:proofErr w:type="gramStart"/>
      <w:r w:rsidR="00795BBE" w:rsidRPr="00AB34D8">
        <w:rPr>
          <w:rFonts w:ascii="Gill Sans MT" w:hAnsi="Gill Sans MT"/>
          <w:color w:val="auto"/>
          <w:sz w:val="22"/>
          <w:szCs w:val="22"/>
        </w:rPr>
        <w:t>) .</w:t>
      </w:r>
      <w:r w:rsidRPr="00AB34D8">
        <w:rPr>
          <w:rFonts w:ascii="Gill Sans MT" w:hAnsi="Gill Sans MT"/>
          <w:color w:val="auto"/>
          <w:sz w:val="22"/>
          <w:szCs w:val="22"/>
        </w:rPr>
        <w:t>.</w:t>
      </w:r>
      <w:proofErr w:type="gramEnd"/>
      <w:r w:rsidRPr="00AB34D8">
        <w:rPr>
          <w:rFonts w:ascii="Gill Sans MT" w:hAnsi="Gill Sans MT"/>
          <w:color w:val="auto"/>
          <w:sz w:val="22"/>
          <w:szCs w:val="22"/>
        </w:rPr>
        <w:t xml:space="preserve"> </w:t>
      </w:r>
    </w:p>
    <w:p w:rsidR="00AF79E1" w:rsidRPr="00AB34D8" w:rsidRDefault="00AF79E1" w:rsidP="00AF79E1">
      <w:pPr>
        <w:pStyle w:val="Default"/>
        <w:numPr>
          <w:ilvl w:val="1"/>
          <w:numId w:val="1"/>
        </w:numPr>
        <w:jc w:val="both"/>
        <w:rPr>
          <w:rFonts w:ascii="Gill Sans MT" w:hAnsi="Gill Sans MT"/>
          <w:color w:val="auto"/>
          <w:sz w:val="22"/>
          <w:szCs w:val="22"/>
        </w:rPr>
      </w:pPr>
      <w:r w:rsidRPr="00AB34D8">
        <w:rPr>
          <w:rFonts w:ascii="Gill Sans MT" w:hAnsi="Gill Sans MT"/>
          <w:color w:val="auto"/>
          <w:sz w:val="22"/>
          <w:szCs w:val="22"/>
        </w:rPr>
        <w:t>Cocher la case « obstacle au don du corps à la science ».</w:t>
      </w:r>
    </w:p>
    <w:p w:rsidR="00AF79E1" w:rsidRPr="00AB34D8" w:rsidRDefault="00AF79E1" w:rsidP="00AF79E1">
      <w:pPr>
        <w:pStyle w:val="Default"/>
        <w:ind w:left="1440"/>
        <w:jc w:val="both"/>
        <w:rPr>
          <w:rFonts w:ascii="Gill Sans MT" w:hAnsi="Gill Sans MT"/>
          <w:color w:val="auto"/>
          <w:sz w:val="22"/>
          <w:szCs w:val="22"/>
        </w:rPr>
      </w:pPr>
    </w:p>
    <w:p w:rsidR="00AF79E1" w:rsidRPr="00AB34D8" w:rsidRDefault="00AF79E1" w:rsidP="00AF79E1">
      <w:pPr>
        <w:pStyle w:val="Default"/>
        <w:numPr>
          <w:ilvl w:val="0"/>
          <w:numId w:val="2"/>
        </w:numPr>
        <w:jc w:val="both"/>
        <w:rPr>
          <w:rFonts w:ascii="Gill Sans MT" w:hAnsi="Gill Sans MT"/>
          <w:color w:val="auto"/>
          <w:sz w:val="22"/>
          <w:szCs w:val="22"/>
        </w:rPr>
      </w:pPr>
      <w:r w:rsidRPr="00AB34D8">
        <w:rPr>
          <w:rFonts w:ascii="Gill Sans MT" w:hAnsi="Gill Sans MT"/>
          <w:color w:val="auto"/>
          <w:sz w:val="22"/>
          <w:szCs w:val="22"/>
          <w:u w:val="single"/>
        </w:rPr>
        <w:t>Et s’il suspecte un lien avec le COVID 19,</w:t>
      </w:r>
      <w:r w:rsidRPr="00AB34D8">
        <w:rPr>
          <w:rFonts w:ascii="Gill Sans MT" w:hAnsi="Gill Sans MT"/>
          <w:color w:val="auto"/>
          <w:sz w:val="22"/>
          <w:szCs w:val="22"/>
        </w:rPr>
        <w:t xml:space="preserve"> il doit cocher la case : « Mise en bière immédiate » </w:t>
      </w:r>
      <w:r w:rsidRPr="00AB34D8">
        <w:rPr>
          <w:rFonts w:ascii="Gill Sans MT" w:hAnsi="Gill Sans MT"/>
          <w:color w:val="auto"/>
          <w:sz w:val="22"/>
          <w:szCs w:val="22"/>
          <w:u w:val="single"/>
        </w:rPr>
        <w:t>dans un cercueil simple</w:t>
      </w:r>
      <w:r w:rsidRPr="00AB34D8">
        <w:rPr>
          <w:rFonts w:ascii="Gill Sans MT" w:hAnsi="Gill Sans MT"/>
          <w:color w:val="auto"/>
          <w:sz w:val="22"/>
          <w:szCs w:val="22"/>
        </w:rPr>
        <w:t xml:space="preserve">, sauf exception (notamment retour du corps dans un pays étranger). En effet, le cercueil hermétique (cercueil plombé) n’est pas indiqué pour les décès en lien avec le COVID 19. Il interdit de plus la crémation. </w:t>
      </w:r>
    </w:p>
    <w:p w:rsidR="00AF79E1" w:rsidRPr="00AB34D8" w:rsidRDefault="00AF79E1" w:rsidP="00AF79E1">
      <w:pPr>
        <w:pStyle w:val="Default"/>
        <w:ind w:left="720"/>
        <w:jc w:val="both"/>
        <w:rPr>
          <w:rFonts w:ascii="Gill Sans MT" w:hAnsi="Gill Sans MT"/>
          <w:b/>
          <w:color w:val="auto"/>
          <w:sz w:val="22"/>
          <w:szCs w:val="22"/>
        </w:rPr>
      </w:pPr>
      <w:r w:rsidRPr="00AB34D8">
        <w:rPr>
          <w:rFonts w:ascii="Gill Sans MT" w:hAnsi="Gill Sans MT"/>
          <w:b/>
          <w:color w:val="auto"/>
          <w:sz w:val="22"/>
          <w:szCs w:val="22"/>
        </w:rPr>
        <w:t xml:space="preserve">L’obligation de mise en bière immédiate signifie que celle-ci est réalisée dans les 24 heures au maximum après le décès ce qui impose aux médecins de rédiger le certificat dans les meilleurs délais. </w:t>
      </w:r>
    </w:p>
    <w:p w:rsidR="00AF79E1" w:rsidRPr="00AB34D8" w:rsidRDefault="00AF79E1" w:rsidP="00AF79E1">
      <w:pPr>
        <w:pStyle w:val="Default"/>
        <w:rPr>
          <w:rFonts w:ascii="Gill Sans MT" w:hAnsi="Gill Sans MT" w:cs="Calibri"/>
          <w:color w:val="auto"/>
          <w:sz w:val="22"/>
          <w:szCs w:val="22"/>
        </w:rPr>
      </w:pPr>
    </w:p>
    <w:p w:rsidR="00945F68" w:rsidRPr="00AB34D8" w:rsidRDefault="00945F68">
      <w:pPr>
        <w:rPr>
          <w:rFonts w:ascii="Gill Sans MT" w:hAnsi="Gill Sans MT"/>
        </w:rPr>
      </w:pPr>
    </w:p>
    <w:sectPr w:rsidR="00945F68" w:rsidRPr="00AB34D8" w:rsidSect="00AB34D8">
      <w:pgSz w:w="11906" w:h="16838"/>
      <w:pgMar w:top="1417" w:right="1417" w:bottom="1417" w:left="1417" w:header="708" w:footer="708" w:gutter="0"/>
      <w:pgBorders w:offsetFrom="page">
        <w:top w:val="single" w:sz="24" w:space="24" w:color="C30F20"/>
        <w:left w:val="single" w:sz="24" w:space="24" w:color="C30F20"/>
        <w:bottom w:val="single" w:sz="24" w:space="24" w:color="C30F20"/>
        <w:right w:val="single" w:sz="24" w:space="24" w:color="C30F2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Arial"/>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179FF"/>
    <w:multiLevelType w:val="hybridMultilevel"/>
    <w:tmpl w:val="EC5C2F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4026D05"/>
    <w:multiLevelType w:val="hybridMultilevel"/>
    <w:tmpl w:val="36FA5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6B239DF"/>
    <w:multiLevelType w:val="hybridMultilevel"/>
    <w:tmpl w:val="D58E3332"/>
    <w:lvl w:ilvl="0" w:tplc="12B871A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787985"/>
    <w:multiLevelType w:val="hybridMultilevel"/>
    <w:tmpl w:val="1DA48172"/>
    <w:lvl w:ilvl="0" w:tplc="D27692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E1"/>
    <w:rsid w:val="00795BBE"/>
    <w:rsid w:val="00945F68"/>
    <w:rsid w:val="00AB34D8"/>
    <w:rsid w:val="00AF7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E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uiPriority w:val="99"/>
    <w:rsid w:val="00AF79E1"/>
    <w:pPr>
      <w:autoSpaceDE w:val="0"/>
      <w:autoSpaceDN w:val="0"/>
    </w:pPr>
    <w:rPr>
      <w:rFonts w:ascii="Arial" w:hAnsi="Arial" w:cs="Arial"/>
      <w:color w:val="000000"/>
      <w:sz w:val="24"/>
      <w:szCs w:val="24"/>
      <w:lang w:eastAsia="fr-FR"/>
    </w:rPr>
  </w:style>
  <w:style w:type="paragraph" w:customStyle="1" w:styleId="default0">
    <w:name w:val="default"/>
    <w:basedOn w:val="Normal"/>
    <w:rsid w:val="00795BBE"/>
    <w:rPr>
      <w:rFonts w:ascii="Arial" w:hAnsi="Arial" w:cs="Arial"/>
      <w:color w:val="000000"/>
      <w:sz w:val="24"/>
      <w:szCs w:val="24"/>
      <w:lang w:eastAsia="fr-FR"/>
    </w:rPr>
  </w:style>
  <w:style w:type="character" w:styleId="lev">
    <w:name w:val="Strong"/>
    <w:basedOn w:val="Policepardfaut"/>
    <w:uiPriority w:val="22"/>
    <w:qFormat/>
    <w:rsid w:val="00795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E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uiPriority w:val="99"/>
    <w:rsid w:val="00AF79E1"/>
    <w:pPr>
      <w:autoSpaceDE w:val="0"/>
      <w:autoSpaceDN w:val="0"/>
    </w:pPr>
    <w:rPr>
      <w:rFonts w:ascii="Arial" w:hAnsi="Arial" w:cs="Arial"/>
      <w:color w:val="000000"/>
      <w:sz w:val="24"/>
      <w:szCs w:val="24"/>
      <w:lang w:eastAsia="fr-FR"/>
    </w:rPr>
  </w:style>
  <w:style w:type="paragraph" w:customStyle="1" w:styleId="default0">
    <w:name w:val="default"/>
    <w:basedOn w:val="Normal"/>
    <w:rsid w:val="00795BBE"/>
    <w:rPr>
      <w:rFonts w:ascii="Arial" w:hAnsi="Arial" w:cs="Arial"/>
      <w:color w:val="000000"/>
      <w:sz w:val="24"/>
      <w:szCs w:val="24"/>
      <w:lang w:eastAsia="fr-FR"/>
    </w:rPr>
  </w:style>
  <w:style w:type="character" w:styleId="lev">
    <w:name w:val="Strong"/>
    <w:basedOn w:val="Policepardfaut"/>
    <w:uiPriority w:val="22"/>
    <w:qFormat/>
    <w:rsid w:val="00795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8231">
      <w:bodyDiv w:val="1"/>
      <w:marLeft w:val="0"/>
      <w:marRight w:val="0"/>
      <w:marTop w:val="0"/>
      <w:marBottom w:val="0"/>
      <w:divBdr>
        <w:top w:val="none" w:sz="0" w:space="0" w:color="auto"/>
        <w:left w:val="none" w:sz="0" w:space="0" w:color="auto"/>
        <w:bottom w:val="none" w:sz="0" w:space="0" w:color="auto"/>
        <w:right w:val="none" w:sz="0" w:space="0" w:color="auto"/>
      </w:divBdr>
    </w:div>
    <w:div w:id="1828745492">
      <w:bodyDiv w:val="1"/>
      <w:marLeft w:val="0"/>
      <w:marRight w:val="0"/>
      <w:marTop w:val="0"/>
      <w:marBottom w:val="0"/>
      <w:divBdr>
        <w:top w:val="none" w:sz="0" w:space="0" w:color="auto"/>
        <w:left w:val="none" w:sz="0" w:space="0" w:color="auto"/>
        <w:bottom w:val="none" w:sz="0" w:space="0" w:color="auto"/>
        <w:right w:val="none" w:sz="0" w:space="0" w:color="auto"/>
      </w:divBdr>
    </w:div>
    <w:div w:id="21105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3D67-9307-40C9-8627-1681B63C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2</cp:revision>
  <dcterms:created xsi:type="dcterms:W3CDTF">2020-04-09T16:27:00Z</dcterms:created>
  <dcterms:modified xsi:type="dcterms:W3CDTF">2020-04-09T16:27:00Z</dcterms:modified>
</cp:coreProperties>
</file>