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8A81" w14:textId="4AB1FE93" w:rsidR="00222753" w:rsidRDefault="00222753" w:rsidP="00EC6A4C">
      <w:pPr>
        <w:spacing w:line="276" w:lineRule="auto"/>
        <w:rPr>
          <w:color w:val="auto"/>
          <w:sz w:val="20"/>
          <w:szCs w:val="20"/>
          <w:u w:val="none"/>
        </w:rPr>
      </w:pPr>
      <w:r w:rsidRPr="00222753">
        <w:rPr>
          <w:noProof/>
          <w:color w:val="auto"/>
          <w:sz w:val="20"/>
          <w:szCs w:val="20"/>
          <w:u w:val="none"/>
          <w:lang w:eastAsia="fr-FR"/>
        </w:rPr>
        <mc:AlternateContent>
          <mc:Choice Requires="wps">
            <w:drawing>
              <wp:anchor distT="45720" distB="45720" distL="114300" distR="114300" simplePos="0" relativeHeight="251660800" behindDoc="0" locked="0" layoutInCell="1" allowOverlap="1" wp14:anchorId="0A0277DD" wp14:editId="044A9DF2">
                <wp:simplePos x="0" y="0"/>
                <wp:positionH relativeFrom="column">
                  <wp:posOffset>2009140</wp:posOffset>
                </wp:positionH>
                <wp:positionV relativeFrom="paragraph">
                  <wp:posOffset>-97155</wp:posOffset>
                </wp:positionV>
                <wp:extent cx="1381125" cy="275590"/>
                <wp:effectExtent l="0" t="0" r="0" b="381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5590"/>
                        </a:xfrm>
                        <a:prstGeom prst="rect">
                          <a:avLst/>
                        </a:prstGeom>
                        <a:solidFill>
                          <a:srgbClr val="FFFFFF"/>
                        </a:solidFill>
                        <a:ln w="9525">
                          <a:noFill/>
                          <a:miter lim="800000"/>
                          <a:headEnd/>
                          <a:tailEnd/>
                        </a:ln>
                      </wps:spPr>
                      <wps:txbx>
                        <w:txbxContent>
                          <w:p w14:paraId="0C4B7955" w14:textId="27396DC9" w:rsidR="00222753" w:rsidRPr="00DB203B" w:rsidRDefault="00F061A5">
                            <w:pPr>
                              <w:rPr>
                                <w:color w:val="auto"/>
                                <w:u w:val="none"/>
                              </w:rPr>
                            </w:pPr>
                            <w:r w:rsidRPr="00DB203B">
                              <w:rPr>
                                <w:color w:val="auto"/>
                                <w:u w:val="none"/>
                              </w:rPr>
                              <w:t>En</w:t>
                            </w:r>
                            <w:r w:rsidR="00222753" w:rsidRPr="00DB203B">
                              <w:rPr>
                                <w:color w:val="auto"/>
                                <w:u w:val="none"/>
                              </w:rPr>
                              <w:t xml:space="preserve"> partenariat avec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158.2pt;margin-top:-7.6pt;width:108.75pt;height:21.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" stroked="f">
                <v:textbox style="mso-fit-shape-to-text:t">
                  <w:txbxContent>
                    <w:p w14:paraId="0C4B7955" w14:textId="27396DC9" w:rsidR="00222753" w:rsidRPr="00DB203B" w:rsidRDefault="00F061A5">
                      <w:pPr>
                        <w:rPr>
                          <w:color w:val="auto"/>
                          <w:u w:val="none"/>
                        </w:rPr>
                      </w:pPr>
                      <w:r w:rsidRPr="00DB203B">
                        <w:rPr>
                          <w:color w:val="auto"/>
                          <w:u w:val="none"/>
                        </w:rPr>
                        <w:t>En</w:t>
                      </w:r>
                      <w:r w:rsidR="00222753" w:rsidRPr="00DB203B">
                        <w:rPr>
                          <w:color w:val="auto"/>
                          <w:u w:val="none"/>
                        </w:rPr>
                        <w:t xml:space="preserve"> partenariat avec</w:t>
                      </w:r>
                    </w:p>
                  </w:txbxContent>
                </v:textbox>
                <w10:wrap type="square"/>
              </v:shape>
            </w:pict>
          </mc:Fallback>
        </mc:AlternateContent>
      </w:r>
    </w:p>
    <w:p w14:paraId="585CF50D" w14:textId="07E27E47" w:rsidR="00222753" w:rsidRDefault="00F061A5" w:rsidP="00222753">
      <w:pPr>
        <w:rPr>
          <w:color w:val="auto"/>
          <w:u w:val="none"/>
        </w:rPr>
      </w:pPr>
      <w:r>
        <w:rPr>
          <w:noProof/>
          <w:color w:val="auto"/>
          <w:u w:val="none"/>
          <w:lang w:eastAsia="fr-FR"/>
        </w:rPr>
        <w:drawing>
          <wp:anchor distT="0" distB="0" distL="114300" distR="114300" simplePos="0" relativeHeight="251652608" behindDoc="1" locked="0" layoutInCell="1" allowOverlap="1" wp14:anchorId="7D172E02" wp14:editId="5148E1C2">
            <wp:simplePos x="0" y="0"/>
            <wp:positionH relativeFrom="margin">
              <wp:posOffset>4409440</wp:posOffset>
            </wp:positionH>
            <wp:positionV relativeFrom="page">
              <wp:posOffset>1145540</wp:posOffset>
            </wp:positionV>
            <wp:extent cx="1085850" cy="438150"/>
            <wp:effectExtent l="0" t="0" r="6350" b="0"/>
            <wp:wrapTight wrapText="bothSides">
              <wp:wrapPolygon edited="0">
                <wp:start x="0" y="0"/>
                <wp:lineTo x="0" y="20035"/>
                <wp:lineTo x="21221" y="20035"/>
                <wp:lineTo x="2122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38150"/>
                    </a:xfrm>
                    <a:prstGeom prst="rect">
                      <a:avLst/>
                    </a:prstGeom>
                    <a:noFill/>
                  </pic:spPr>
                </pic:pic>
              </a:graphicData>
            </a:graphic>
            <wp14:sizeRelV relativeFrom="margin">
              <wp14:pctHeight>0</wp14:pctHeight>
            </wp14:sizeRelV>
          </wp:anchor>
        </w:drawing>
      </w:r>
      <w:r w:rsidR="00222753">
        <w:rPr>
          <w:noProof/>
          <w:color w:val="auto"/>
          <w:u w:val="none"/>
          <w:lang w:eastAsia="fr-FR"/>
        </w:rPr>
        <w:drawing>
          <wp:anchor distT="0" distB="0" distL="114300" distR="114300" simplePos="0" relativeHeight="251645440" behindDoc="1" locked="0" layoutInCell="1" allowOverlap="1" wp14:anchorId="634B8F15" wp14:editId="6DFB7C6F">
            <wp:simplePos x="0" y="0"/>
            <wp:positionH relativeFrom="column">
              <wp:posOffset>-90170</wp:posOffset>
            </wp:positionH>
            <wp:positionV relativeFrom="page">
              <wp:posOffset>809625</wp:posOffset>
            </wp:positionV>
            <wp:extent cx="1343025" cy="1135380"/>
            <wp:effectExtent l="0" t="0" r="9525" b="7620"/>
            <wp:wrapTight wrapText="bothSides">
              <wp:wrapPolygon edited="0">
                <wp:start x="0" y="0"/>
                <wp:lineTo x="0" y="21383"/>
                <wp:lineTo x="21447" y="21383"/>
                <wp:lineTo x="2144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135380"/>
                    </a:xfrm>
                    <a:prstGeom prst="rect">
                      <a:avLst/>
                    </a:prstGeom>
                    <a:noFill/>
                  </pic:spPr>
                </pic:pic>
              </a:graphicData>
            </a:graphic>
          </wp:anchor>
        </w:drawing>
      </w:r>
    </w:p>
    <w:p w14:paraId="0131D2BC" w14:textId="1BD0DFF3" w:rsidR="00222753" w:rsidRDefault="00222753" w:rsidP="00222753">
      <w:pPr>
        <w:rPr>
          <w:color w:val="auto"/>
          <w:u w:val="none"/>
        </w:rPr>
      </w:pPr>
    </w:p>
    <w:p w14:paraId="6F6E360F" w14:textId="1EB77067" w:rsidR="00222753" w:rsidRDefault="00222753" w:rsidP="00222753">
      <w:pPr>
        <w:rPr>
          <w:color w:val="auto"/>
          <w:u w:val="none"/>
        </w:rPr>
      </w:pPr>
    </w:p>
    <w:p w14:paraId="721CCD64" w14:textId="2EAFE4D7" w:rsidR="00222753" w:rsidRDefault="00222753" w:rsidP="00222753">
      <w:pPr>
        <w:rPr>
          <w:color w:val="auto"/>
          <w:u w:val="none"/>
        </w:rPr>
      </w:pPr>
      <w:r w:rsidRPr="00676617">
        <w:rPr>
          <w:noProof/>
          <w:color w:val="auto"/>
          <w:u w:val="none"/>
          <w:lang w:eastAsia="fr-FR"/>
        </w:rPr>
        <mc:AlternateContent>
          <mc:Choice Requires="wps">
            <w:drawing>
              <wp:anchor distT="45720" distB="45720" distL="114300" distR="114300" simplePos="0" relativeHeight="251627008" behindDoc="0" locked="0" layoutInCell="1" allowOverlap="1" wp14:anchorId="510A0EA2" wp14:editId="04A40669">
                <wp:simplePos x="0" y="0"/>
                <wp:positionH relativeFrom="margin">
                  <wp:posOffset>2202180</wp:posOffset>
                </wp:positionH>
                <wp:positionV relativeFrom="paragraph">
                  <wp:posOffset>5715</wp:posOffset>
                </wp:positionV>
                <wp:extent cx="1581150" cy="275590"/>
                <wp:effectExtent l="0" t="0" r="1905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5590"/>
                        </a:xfrm>
                        <a:prstGeom prst="rect">
                          <a:avLst/>
                        </a:prstGeom>
                        <a:solidFill>
                          <a:srgbClr val="FFFFFF"/>
                        </a:solidFill>
                        <a:ln w="9525">
                          <a:solidFill>
                            <a:srgbClr val="0070C0"/>
                          </a:solidFill>
                          <a:miter lim="800000"/>
                          <a:headEnd/>
                          <a:tailEnd/>
                        </a:ln>
                      </wps:spPr>
                      <wps:txbx>
                        <w:txbxContent>
                          <w:p w14:paraId="20759060" w14:textId="77777777" w:rsidR="00222753" w:rsidRPr="00676617" w:rsidRDefault="00222753" w:rsidP="00222753">
                            <w:pPr>
                              <w:rPr>
                                <w:b/>
                                <w:color w:val="0070C0"/>
                                <w:u w:val="none"/>
                              </w:rPr>
                            </w:pPr>
                            <w:r w:rsidRPr="00676617">
                              <w:rPr>
                                <w:b/>
                                <w:color w:val="0070C0"/>
                                <w:u w:val="none"/>
                              </w:rPr>
                              <w:t>ETUDE COMBI-AT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10A0EA2" id="_x0000_s1028" type="#_x0000_t202" style="position:absolute;margin-left:173.4pt;margin-top:.45pt;width:124.5pt;height:110.6pt;z-index:251627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" strokecolor="#0070c0">
                <v:textbox style="mso-fit-shape-to-text:t">
                  <w:txbxContent>
                    <w:p w14:paraId="20759060" w14:textId="77777777" w:rsidR="00222753" w:rsidRPr="00676617" w:rsidRDefault="00222753" w:rsidP="00222753">
                      <w:pPr>
                        <w:rPr>
                          <w:b/>
                          <w:color w:val="0070C0"/>
                          <w:u w:val="none"/>
                        </w:rPr>
                      </w:pPr>
                      <w:r w:rsidRPr="00676617">
                        <w:rPr>
                          <w:b/>
                          <w:color w:val="0070C0"/>
                          <w:u w:val="none"/>
                        </w:rPr>
                        <w:t>ETUDE COMBI-AT</w:t>
                      </w:r>
                    </w:p>
                  </w:txbxContent>
                </v:textbox>
                <w10:wrap type="square" anchorx="margin"/>
              </v:shape>
            </w:pict>
          </mc:Fallback>
        </mc:AlternateContent>
      </w:r>
    </w:p>
    <w:p w14:paraId="560068F1" w14:textId="329B3E69" w:rsidR="00222753" w:rsidRDefault="00222753" w:rsidP="00222753">
      <w:pPr>
        <w:rPr>
          <w:color w:val="auto"/>
          <w:u w:val="none"/>
        </w:rPr>
      </w:pPr>
    </w:p>
    <w:p w14:paraId="68C6C9E1" w14:textId="78DA5EC8" w:rsidR="00222753" w:rsidRDefault="00222753" w:rsidP="00222753">
      <w:pPr>
        <w:rPr>
          <w:color w:val="auto"/>
          <w:u w:val="none"/>
        </w:rPr>
      </w:pPr>
    </w:p>
    <w:p w14:paraId="2D3B9EE5" w14:textId="3B8F82A5" w:rsidR="00222753" w:rsidRDefault="00222753" w:rsidP="00222753">
      <w:pPr>
        <w:rPr>
          <w:color w:val="auto"/>
          <w:u w:val="none"/>
        </w:rPr>
      </w:pPr>
    </w:p>
    <w:p w14:paraId="3BB1585B" w14:textId="77777777" w:rsidR="00436604" w:rsidRPr="00EC6A4C" w:rsidRDefault="00436604" w:rsidP="00EC6A4C">
      <w:pPr>
        <w:spacing w:line="276" w:lineRule="auto"/>
        <w:rPr>
          <w:color w:val="auto"/>
          <w:sz w:val="20"/>
          <w:szCs w:val="20"/>
          <w:u w:val="none"/>
        </w:rPr>
      </w:pPr>
      <w:r w:rsidRPr="00EC6A4C">
        <w:rPr>
          <w:color w:val="auto"/>
          <w:sz w:val="20"/>
          <w:szCs w:val="20"/>
          <w:u w:val="none"/>
        </w:rPr>
        <w:t xml:space="preserve">Chers confrères, </w:t>
      </w:r>
    </w:p>
    <w:p w14:paraId="1D976BAF" w14:textId="77777777" w:rsidR="00436604" w:rsidRPr="00EC6A4C" w:rsidRDefault="00436604" w:rsidP="00EC6A4C">
      <w:pPr>
        <w:spacing w:line="276" w:lineRule="auto"/>
        <w:rPr>
          <w:color w:val="auto"/>
          <w:sz w:val="20"/>
          <w:szCs w:val="20"/>
          <w:u w:val="none"/>
        </w:rPr>
      </w:pPr>
    </w:p>
    <w:p w14:paraId="550ADD22" w14:textId="51E57A65" w:rsidR="00436604" w:rsidRPr="00EC6A4C" w:rsidRDefault="00436604" w:rsidP="00EC6A4C">
      <w:pPr>
        <w:spacing w:line="276" w:lineRule="auto"/>
        <w:rPr>
          <w:b/>
          <w:color w:val="auto"/>
          <w:sz w:val="20"/>
          <w:szCs w:val="20"/>
          <w:u w:val="none"/>
        </w:rPr>
      </w:pPr>
      <w:r w:rsidRPr="00EC6A4C">
        <w:rPr>
          <w:color w:val="auto"/>
          <w:sz w:val="20"/>
          <w:szCs w:val="20"/>
          <w:u w:val="none"/>
        </w:rPr>
        <w:t>Dans le cadre de votre mission d’action</w:t>
      </w:r>
      <w:r w:rsidR="001729DB" w:rsidRPr="00EC6A4C">
        <w:rPr>
          <w:color w:val="auto"/>
          <w:sz w:val="20"/>
          <w:szCs w:val="20"/>
          <w:u w:val="none"/>
        </w:rPr>
        <w:t>s</w:t>
      </w:r>
      <w:r w:rsidRPr="00EC6A4C">
        <w:rPr>
          <w:color w:val="auto"/>
          <w:sz w:val="20"/>
          <w:szCs w:val="20"/>
          <w:u w:val="none"/>
        </w:rPr>
        <w:t xml:space="preserve"> de prévention, de promotion de la santé et d’éducation thérapeutique, </w:t>
      </w:r>
      <w:r w:rsidRPr="00EC6A4C">
        <w:rPr>
          <w:b/>
          <w:color w:val="auto"/>
          <w:sz w:val="20"/>
          <w:szCs w:val="20"/>
          <w:u w:val="none"/>
        </w:rPr>
        <w:t xml:space="preserve">nous vous sollicitons pour évaluer l’intérêt d’un outil d’aide à la prescription des cumuls </w:t>
      </w:r>
      <w:r w:rsidRPr="00BF02C9">
        <w:rPr>
          <w:b/>
          <w:color w:val="auto"/>
          <w:sz w:val="20"/>
          <w:szCs w:val="20"/>
          <w:u w:val="none"/>
        </w:rPr>
        <w:t>d’antithrombotiques</w:t>
      </w:r>
      <w:r w:rsidR="00406E8C" w:rsidRPr="00BF02C9">
        <w:rPr>
          <w:b/>
          <w:color w:val="auto"/>
          <w:sz w:val="20"/>
          <w:szCs w:val="20"/>
          <w:u w:val="none"/>
        </w:rPr>
        <w:t xml:space="preserve"> (anticoagulants et/ou antiagrégants plaquettaires)</w:t>
      </w:r>
      <w:r w:rsidRPr="00BF02C9">
        <w:rPr>
          <w:b/>
          <w:color w:val="auto"/>
          <w:sz w:val="20"/>
          <w:szCs w:val="20"/>
          <w:u w:val="none"/>
        </w:rPr>
        <w:t xml:space="preserve"> oraux (en mono- bi- ou tri-thérapie) chez l’adulte.</w:t>
      </w:r>
    </w:p>
    <w:p w14:paraId="5565AE1A" w14:textId="77777777" w:rsidR="00751E61" w:rsidRPr="00EC6A4C" w:rsidRDefault="00751E61" w:rsidP="00EC6A4C">
      <w:pPr>
        <w:spacing w:line="276" w:lineRule="auto"/>
        <w:rPr>
          <w:b/>
          <w:color w:val="auto"/>
          <w:sz w:val="20"/>
          <w:szCs w:val="20"/>
          <w:u w:val="none"/>
        </w:rPr>
      </w:pPr>
    </w:p>
    <w:p w14:paraId="38D50864" w14:textId="6566C03A" w:rsidR="00751E61" w:rsidRPr="00EC6A4C" w:rsidRDefault="00751E61" w:rsidP="00EC6A4C">
      <w:pPr>
        <w:spacing w:line="276" w:lineRule="auto"/>
        <w:rPr>
          <w:color w:val="auto"/>
          <w:sz w:val="20"/>
          <w:szCs w:val="20"/>
          <w:u w:val="none"/>
        </w:rPr>
      </w:pPr>
      <w:r w:rsidRPr="00EC6A4C">
        <w:rPr>
          <w:color w:val="auto"/>
          <w:sz w:val="20"/>
          <w:szCs w:val="20"/>
          <w:u w:val="none"/>
        </w:rPr>
        <w:t>Nous sommes médecins (</w:t>
      </w:r>
      <w:r w:rsidR="00A976DD" w:rsidRPr="00EC6A4C">
        <w:rPr>
          <w:color w:val="auto"/>
          <w:sz w:val="20"/>
          <w:szCs w:val="20"/>
          <w:u w:val="none"/>
        </w:rPr>
        <w:t xml:space="preserve">cardiologues, épidémiologistes, </w:t>
      </w:r>
      <w:r w:rsidRPr="00EC6A4C">
        <w:rPr>
          <w:color w:val="auto"/>
          <w:sz w:val="20"/>
          <w:szCs w:val="20"/>
          <w:u w:val="none"/>
        </w:rPr>
        <w:t xml:space="preserve">généralistes, </w:t>
      </w:r>
      <w:r w:rsidR="00A976DD" w:rsidRPr="00EC6A4C">
        <w:rPr>
          <w:color w:val="auto"/>
          <w:sz w:val="20"/>
          <w:szCs w:val="20"/>
          <w:u w:val="none"/>
        </w:rPr>
        <w:t>gériatres</w:t>
      </w:r>
      <w:r w:rsidR="00F830C8" w:rsidRPr="00EC6A4C">
        <w:rPr>
          <w:color w:val="auto"/>
          <w:sz w:val="20"/>
          <w:szCs w:val="20"/>
          <w:u w:val="none"/>
        </w:rPr>
        <w:t xml:space="preserve"> et </w:t>
      </w:r>
      <w:r w:rsidR="00A976DD" w:rsidRPr="00EC6A4C">
        <w:rPr>
          <w:color w:val="auto"/>
          <w:sz w:val="20"/>
          <w:szCs w:val="20"/>
          <w:u w:val="none"/>
        </w:rPr>
        <w:t xml:space="preserve">internistes) et nous avons crée, à partir d’une revue de la littérature, un outil d’aide à la prescription </w:t>
      </w:r>
      <w:r w:rsidR="00406E8C">
        <w:rPr>
          <w:color w:val="auto"/>
          <w:sz w:val="20"/>
          <w:szCs w:val="20"/>
          <w:u w:val="none"/>
        </w:rPr>
        <w:t>des</w:t>
      </w:r>
      <w:r w:rsidR="00A976DD" w:rsidRPr="00EC6A4C">
        <w:rPr>
          <w:color w:val="auto"/>
          <w:sz w:val="20"/>
          <w:szCs w:val="20"/>
          <w:u w:val="none"/>
        </w:rPr>
        <w:t xml:space="preserve"> cumuls d’antithrombotiques oraux.</w:t>
      </w:r>
      <w:r w:rsidR="006E261A" w:rsidRPr="00EC6A4C">
        <w:rPr>
          <w:color w:val="auto"/>
          <w:sz w:val="20"/>
          <w:szCs w:val="20"/>
          <w:u w:val="none"/>
        </w:rPr>
        <w:t xml:space="preserve"> </w:t>
      </w:r>
      <w:r w:rsidR="006E261A" w:rsidRPr="00EC6A4C">
        <w:rPr>
          <w:b/>
          <w:color w:val="auto"/>
          <w:sz w:val="20"/>
          <w:szCs w:val="20"/>
          <w:u w:val="none"/>
        </w:rPr>
        <w:t>Cet outil est actuellement sous format papier sur une page recto-verso et peut tenir dans une poche</w:t>
      </w:r>
      <w:r w:rsidR="006E261A" w:rsidRPr="00EC6A4C">
        <w:rPr>
          <w:color w:val="auto"/>
          <w:sz w:val="20"/>
          <w:szCs w:val="20"/>
          <w:u w:val="none"/>
        </w:rPr>
        <w:t>.</w:t>
      </w:r>
      <w:r w:rsidR="00222753">
        <w:rPr>
          <w:color w:val="auto"/>
          <w:sz w:val="20"/>
          <w:szCs w:val="20"/>
          <w:u w:val="none"/>
        </w:rPr>
        <w:t xml:space="preserve"> Pour faciliter les futures mises à jour et augmenter l’ergonomie de l’outil, un site internet dérivé de cet outil est en cours de conception. Il sera d’accès libre pour les médecins de ville.</w:t>
      </w:r>
    </w:p>
    <w:p w14:paraId="24B4105B" w14:textId="77777777" w:rsidR="00A976DD" w:rsidRPr="00EC6A4C" w:rsidRDefault="00A976DD" w:rsidP="00EC6A4C">
      <w:pPr>
        <w:spacing w:line="276" w:lineRule="auto"/>
        <w:rPr>
          <w:color w:val="auto"/>
          <w:sz w:val="20"/>
          <w:szCs w:val="20"/>
          <w:u w:val="none"/>
        </w:rPr>
      </w:pPr>
    </w:p>
    <w:p w14:paraId="7AD9658D" w14:textId="2C6C8679" w:rsidR="006E261A" w:rsidRPr="00EC6A4C" w:rsidRDefault="00BF02C9" w:rsidP="00EC6A4C">
      <w:pPr>
        <w:spacing w:line="276" w:lineRule="auto"/>
        <w:rPr>
          <w:b/>
          <w:color w:val="auto"/>
          <w:sz w:val="20"/>
          <w:szCs w:val="20"/>
          <w:u w:val="none"/>
        </w:rPr>
      </w:pPr>
      <w:r>
        <w:rPr>
          <w:color w:val="auto"/>
          <w:sz w:val="20"/>
          <w:szCs w:val="20"/>
          <w:u w:val="none"/>
        </w:rPr>
        <w:t>Les</w:t>
      </w:r>
      <w:r w:rsidR="00A976DD" w:rsidRPr="00EC6A4C">
        <w:rPr>
          <w:color w:val="auto"/>
          <w:sz w:val="20"/>
          <w:szCs w:val="20"/>
          <w:u w:val="none"/>
        </w:rPr>
        <w:t xml:space="preserve"> anti</w:t>
      </w:r>
      <w:r>
        <w:rPr>
          <w:color w:val="auto"/>
          <w:sz w:val="20"/>
          <w:szCs w:val="20"/>
          <w:u w:val="none"/>
        </w:rPr>
        <w:t xml:space="preserve">thrombotiques </w:t>
      </w:r>
      <w:r w:rsidR="00A976DD" w:rsidRPr="00EC6A4C">
        <w:rPr>
          <w:color w:val="auto"/>
          <w:sz w:val="20"/>
          <w:szCs w:val="20"/>
          <w:u w:val="none"/>
        </w:rPr>
        <w:t xml:space="preserve">sont les médicaments les plus prescrits dans le monde. Si leur association (cumul d’antithrombotiques) peut être bénéfique dans certaines situations cliniques, elle entraine aussi une majoration importante du risque hémorragique. Il est donc important de pouvoir réserver l’usage de ces cumuls d’antithrombotiques à leurs strictes indications. Cependant, au terme d’une revue systématique sur la période 2012-2017, nous avons pu mettre en évidence que 63 recommandations traitent de ce sujet et que les mises à jour sont fréquentes. Ceci souligne combien </w:t>
      </w:r>
      <w:r w:rsidR="00A976DD" w:rsidRPr="00EC6A4C">
        <w:rPr>
          <w:b/>
          <w:color w:val="auto"/>
          <w:sz w:val="20"/>
          <w:szCs w:val="20"/>
          <w:u w:val="none"/>
        </w:rPr>
        <w:t>il peut être difficile pour un médecin d’avoir accès facilement à la recommandation la plus à jour et correspondant à la situation clinique de son patient.</w:t>
      </w:r>
      <w:r w:rsidR="00DC75D1" w:rsidRPr="00EC6A4C">
        <w:rPr>
          <w:b/>
          <w:color w:val="auto"/>
          <w:sz w:val="20"/>
          <w:szCs w:val="20"/>
          <w:u w:val="none"/>
        </w:rPr>
        <w:t xml:space="preserve"> </w:t>
      </w:r>
    </w:p>
    <w:p w14:paraId="2DD8AFA7" w14:textId="77777777" w:rsidR="00DC75D1" w:rsidRPr="00EC6A4C" w:rsidRDefault="00DC75D1" w:rsidP="00EC6A4C">
      <w:pPr>
        <w:spacing w:line="276" w:lineRule="auto"/>
        <w:rPr>
          <w:color w:val="auto"/>
          <w:sz w:val="20"/>
          <w:szCs w:val="20"/>
          <w:u w:val="none"/>
        </w:rPr>
      </w:pPr>
    </w:p>
    <w:p w14:paraId="206E744A" w14:textId="42A88A1D" w:rsidR="00DC75D1" w:rsidRPr="00EC6A4C" w:rsidRDefault="00DC75D1" w:rsidP="00EC6A4C">
      <w:pPr>
        <w:spacing w:line="276" w:lineRule="auto"/>
        <w:jc w:val="both"/>
        <w:rPr>
          <w:b/>
          <w:color w:val="auto"/>
          <w:sz w:val="20"/>
          <w:szCs w:val="20"/>
          <w:u w:val="none"/>
        </w:rPr>
      </w:pPr>
      <w:r w:rsidRPr="00EC6A4C">
        <w:rPr>
          <w:b/>
          <w:color w:val="auto"/>
          <w:sz w:val="20"/>
          <w:szCs w:val="20"/>
          <w:u w:val="none"/>
        </w:rPr>
        <w:t>Nous souhaitons évaluer l’intérêt de cet outil en comparant le taux de prescriptions d’antithrombotiques oraux en adéquation aux recommandations selon que le médecin</w:t>
      </w:r>
      <w:r w:rsidR="005D0536">
        <w:rPr>
          <w:b/>
          <w:color w:val="auto"/>
          <w:sz w:val="20"/>
          <w:szCs w:val="20"/>
          <w:u w:val="none"/>
        </w:rPr>
        <w:t xml:space="preserve"> (généraliste ou cardiologue libéral)</w:t>
      </w:r>
      <w:r w:rsidRPr="00EC6A4C">
        <w:rPr>
          <w:b/>
          <w:color w:val="auto"/>
          <w:sz w:val="20"/>
          <w:szCs w:val="20"/>
          <w:u w:val="none"/>
        </w:rPr>
        <w:t xml:space="preserve"> ait ou non en sa possession l’outil d’aide à la prescription. </w:t>
      </w:r>
    </w:p>
    <w:p w14:paraId="486FFA59" w14:textId="77777777" w:rsidR="00DC75D1" w:rsidRPr="00EC6A4C" w:rsidRDefault="00DC75D1" w:rsidP="00EC6A4C">
      <w:pPr>
        <w:spacing w:line="276" w:lineRule="auto"/>
        <w:jc w:val="both"/>
        <w:rPr>
          <w:color w:val="auto"/>
          <w:sz w:val="20"/>
          <w:szCs w:val="20"/>
          <w:u w:val="none"/>
        </w:rPr>
      </w:pPr>
    </w:p>
    <w:p w14:paraId="0AE3FC68" w14:textId="2EE18867" w:rsidR="00DC75D1" w:rsidRPr="00EC6A4C" w:rsidRDefault="00DC75D1" w:rsidP="00EC6A4C">
      <w:pPr>
        <w:spacing w:line="276" w:lineRule="auto"/>
        <w:jc w:val="both"/>
        <w:rPr>
          <w:color w:val="auto"/>
          <w:sz w:val="20"/>
          <w:szCs w:val="20"/>
          <w:u w:val="none"/>
        </w:rPr>
      </w:pPr>
      <w:r w:rsidRPr="00EC6A4C">
        <w:rPr>
          <w:color w:val="auto"/>
          <w:sz w:val="20"/>
          <w:szCs w:val="20"/>
          <w:u w:val="none"/>
        </w:rPr>
        <w:t xml:space="preserve">Pour cela, nous </w:t>
      </w:r>
      <w:r w:rsidR="00B24E8B">
        <w:rPr>
          <w:color w:val="auto"/>
          <w:sz w:val="20"/>
          <w:szCs w:val="20"/>
          <w:u w:val="none"/>
        </w:rPr>
        <w:t>réalisons</w:t>
      </w:r>
      <w:r w:rsidRPr="00EC6A4C">
        <w:rPr>
          <w:color w:val="auto"/>
          <w:sz w:val="20"/>
          <w:szCs w:val="20"/>
          <w:u w:val="none"/>
        </w:rPr>
        <w:t xml:space="preserve"> un </w:t>
      </w:r>
      <w:r w:rsidRPr="00EC6A4C">
        <w:rPr>
          <w:b/>
          <w:color w:val="auto"/>
          <w:sz w:val="20"/>
          <w:szCs w:val="20"/>
          <w:u w:val="none"/>
        </w:rPr>
        <w:t>essai multicentrique randomisé à partir de vignettes cliniques</w:t>
      </w:r>
      <w:r w:rsidRPr="00EC6A4C">
        <w:rPr>
          <w:color w:val="auto"/>
          <w:sz w:val="20"/>
          <w:szCs w:val="20"/>
          <w:u w:val="none"/>
        </w:rPr>
        <w:t xml:space="preserve"> (courte description de situations courantes de prescription d’antithrombotiques oraux en ville). Les médecins</w:t>
      </w:r>
      <w:r w:rsidR="00896111">
        <w:rPr>
          <w:color w:val="auto"/>
          <w:sz w:val="20"/>
          <w:szCs w:val="20"/>
          <w:u w:val="none"/>
        </w:rPr>
        <w:t xml:space="preserve"> (généralistes ou cardiologues libéraux)</w:t>
      </w:r>
      <w:r w:rsidRPr="00EC6A4C">
        <w:rPr>
          <w:color w:val="auto"/>
          <w:sz w:val="20"/>
          <w:szCs w:val="20"/>
          <w:u w:val="none"/>
        </w:rPr>
        <w:t xml:space="preserve"> s</w:t>
      </w:r>
      <w:r w:rsidR="005F5C96">
        <w:rPr>
          <w:color w:val="auto"/>
          <w:sz w:val="20"/>
          <w:szCs w:val="20"/>
          <w:u w:val="none"/>
        </w:rPr>
        <w:t>ont</w:t>
      </w:r>
      <w:r w:rsidRPr="00EC6A4C">
        <w:rPr>
          <w:color w:val="auto"/>
          <w:sz w:val="20"/>
          <w:szCs w:val="20"/>
          <w:u w:val="none"/>
        </w:rPr>
        <w:t xml:space="preserve"> randomisés en deux groupes : un groupe recevant trois vignettes cliniques et l’outil d’aide à la prescription, un groupe ne recevant que trois vignettes cliniques sans l’outil d’aide à la prescription. Ils d</w:t>
      </w:r>
      <w:r w:rsidR="005F5C96">
        <w:rPr>
          <w:color w:val="auto"/>
          <w:sz w:val="20"/>
          <w:szCs w:val="20"/>
          <w:u w:val="none"/>
        </w:rPr>
        <w:t xml:space="preserve">oivent </w:t>
      </w:r>
      <w:r w:rsidRPr="00EC6A4C">
        <w:rPr>
          <w:color w:val="auto"/>
          <w:sz w:val="20"/>
          <w:szCs w:val="20"/>
          <w:u w:val="none"/>
        </w:rPr>
        <w:t xml:space="preserve">alors choisir le traitement antithrombotique qu’ils prescriraient dans chacun des trois cas présentés. Pour ce faire, ils complèteront </w:t>
      </w:r>
      <w:r w:rsidRPr="00EC6A4C">
        <w:rPr>
          <w:b/>
          <w:color w:val="auto"/>
          <w:sz w:val="20"/>
          <w:szCs w:val="20"/>
          <w:u w:val="none"/>
        </w:rPr>
        <w:t>directement leurs réponses sur internet</w:t>
      </w:r>
      <w:r w:rsidRPr="00EC6A4C">
        <w:rPr>
          <w:color w:val="auto"/>
          <w:sz w:val="20"/>
          <w:szCs w:val="20"/>
          <w:u w:val="none"/>
        </w:rPr>
        <w:t xml:space="preserve"> (sous forme de </w:t>
      </w:r>
      <w:r w:rsidRPr="00EC6A4C">
        <w:rPr>
          <w:b/>
          <w:color w:val="auto"/>
          <w:sz w:val="20"/>
          <w:szCs w:val="20"/>
          <w:u w:val="none"/>
        </w:rPr>
        <w:t>QCM</w:t>
      </w:r>
      <w:r w:rsidRPr="00EC6A4C">
        <w:rPr>
          <w:color w:val="auto"/>
          <w:sz w:val="20"/>
          <w:szCs w:val="20"/>
          <w:u w:val="none"/>
        </w:rPr>
        <w:t xml:space="preserve">) avec une </w:t>
      </w:r>
      <w:r w:rsidRPr="00EC6A4C">
        <w:rPr>
          <w:b/>
          <w:color w:val="auto"/>
          <w:sz w:val="20"/>
          <w:szCs w:val="20"/>
          <w:u w:val="none"/>
        </w:rPr>
        <w:t>durée évaluée à 10 minutes par médecin.</w:t>
      </w:r>
      <w:r w:rsidRPr="00EC6A4C">
        <w:rPr>
          <w:color w:val="auto"/>
          <w:sz w:val="20"/>
          <w:szCs w:val="20"/>
          <w:u w:val="none"/>
        </w:rPr>
        <w:t xml:space="preserve"> </w:t>
      </w:r>
      <w:r w:rsidRPr="00EC6A4C">
        <w:rPr>
          <w:b/>
          <w:color w:val="auto"/>
          <w:sz w:val="20"/>
          <w:szCs w:val="20"/>
          <w:u w:val="none"/>
        </w:rPr>
        <w:t>L’étude sera totalement anonyme</w:t>
      </w:r>
      <w:r w:rsidRPr="00EC6A4C">
        <w:rPr>
          <w:color w:val="auto"/>
          <w:sz w:val="20"/>
          <w:szCs w:val="20"/>
          <w:u w:val="none"/>
        </w:rPr>
        <w:t>. Les médecins inclus dans le groupe « sans outil » recevront l’outil d’aide à la prescription après la complétion de l’étude</w:t>
      </w:r>
      <w:r w:rsidRPr="00EC6A4C">
        <w:rPr>
          <w:i/>
          <w:color w:val="auto"/>
          <w:sz w:val="20"/>
          <w:szCs w:val="20"/>
          <w:u w:val="none"/>
        </w:rPr>
        <w:t>.</w:t>
      </w:r>
      <w:r w:rsidRPr="00EC6A4C">
        <w:rPr>
          <w:color w:val="auto"/>
          <w:sz w:val="20"/>
          <w:szCs w:val="20"/>
          <w:u w:val="none"/>
        </w:rPr>
        <w:t xml:space="preserve"> </w:t>
      </w:r>
    </w:p>
    <w:p w14:paraId="1BC65EE5" w14:textId="77777777" w:rsidR="00223262" w:rsidRPr="00EC6A4C" w:rsidRDefault="00223262" w:rsidP="00EC6A4C">
      <w:pPr>
        <w:spacing w:line="276" w:lineRule="auto"/>
        <w:jc w:val="both"/>
        <w:rPr>
          <w:color w:val="auto"/>
          <w:sz w:val="20"/>
          <w:szCs w:val="20"/>
          <w:u w:val="none"/>
        </w:rPr>
      </w:pPr>
    </w:p>
    <w:p w14:paraId="27C4B2A5" w14:textId="7B6DE868" w:rsidR="00C56FBF" w:rsidRPr="00EC6A4C" w:rsidRDefault="00782998" w:rsidP="00EC6A4C">
      <w:pPr>
        <w:spacing w:line="276" w:lineRule="auto"/>
        <w:jc w:val="both"/>
        <w:rPr>
          <w:color w:val="auto"/>
          <w:sz w:val="20"/>
          <w:szCs w:val="20"/>
          <w:u w:val="none"/>
        </w:rPr>
      </w:pPr>
      <w:r w:rsidRPr="00467981">
        <w:rPr>
          <w:b/>
          <w:color w:val="auto"/>
          <w:sz w:val="20"/>
          <w:szCs w:val="20"/>
        </w:rPr>
        <w:t xml:space="preserve">Nous </w:t>
      </w:r>
      <w:r w:rsidR="00C56FBF" w:rsidRPr="00467981">
        <w:rPr>
          <w:b/>
          <w:color w:val="auto"/>
          <w:sz w:val="20"/>
          <w:szCs w:val="20"/>
        </w:rPr>
        <w:t>vous sollicitons car nous souhaiterions que vous diffusiez l’information à vos membres via le courrier en pièce jointe de ce mail</w:t>
      </w:r>
      <w:r w:rsidR="00791FAD">
        <w:rPr>
          <w:b/>
          <w:color w:val="auto"/>
          <w:sz w:val="20"/>
          <w:szCs w:val="20"/>
        </w:rPr>
        <w:t xml:space="preserve"> (personnalisable si vous le souhaitez)</w:t>
      </w:r>
      <w:r w:rsidR="00C56FBF" w:rsidRPr="00467981">
        <w:rPr>
          <w:b/>
          <w:color w:val="auto"/>
          <w:sz w:val="20"/>
          <w:szCs w:val="20"/>
        </w:rPr>
        <w:t>.</w:t>
      </w:r>
      <w:r w:rsidR="00C56FBF" w:rsidRPr="00EC6A4C">
        <w:rPr>
          <w:b/>
          <w:color w:val="auto"/>
          <w:sz w:val="20"/>
          <w:szCs w:val="20"/>
          <w:u w:val="none"/>
        </w:rPr>
        <w:t xml:space="preserve"> </w:t>
      </w:r>
    </w:p>
    <w:p w14:paraId="4006364A" w14:textId="77777777" w:rsidR="00C56FBF" w:rsidRPr="00EC6A4C" w:rsidRDefault="00C56FBF" w:rsidP="00EC6A4C">
      <w:pPr>
        <w:spacing w:line="276" w:lineRule="auto"/>
        <w:jc w:val="both"/>
        <w:rPr>
          <w:b/>
          <w:color w:val="auto"/>
          <w:sz w:val="20"/>
          <w:szCs w:val="20"/>
          <w:u w:val="none"/>
        </w:rPr>
      </w:pPr>
    </w:p>
    <w:p w14:paraId="4C0F8A48" w14:textId="2EDC6103" w:rsidR="005D0536" w:rsidRPr="005D0536" w:rsidRDefault="005D0536" w:rsidP="00EC6A4C">
      <w:pPr>
        <w:spacing w:line="276" w:lineRule="auto"/>
        <w:jc w:val="both"/>
        <w:rPr>
          <w:b/>
          <w:color w:val="auto"/>
          <w:sz w:val="20"/>
          <w:szCs w:val="20"/>
          <w:u w:val="none"/>
        </w:rPr>
      </w:pPr>
      <w:r w:rsidRPr="005D0536">
        <w:rPr>
          <w:b/>
          <w:color w:val="auto"/>
          <w:sz w:val="20"/>
          <w:szCs w:val="20"/>
          <w:u w:val="none"/>
        </w:rPr>
        <w:t xml:space="preserve">Cette étude nous permettra d’évaluer au mieux les besoins des médecins et d’affiner la version électronique de cet outil qui sera disponible pour tous. </w:t>
      </w:r>
    </w:p>
    <w:p w14:paraId="3FE49BA6" w14:textId="0E5EBFCF" w:rsidR="005D0536" w:rsidRDefault="00467981" w:rsidP="00467981">
      <w:pPr>
        <w:tabs>
          <w:tab w:val="left" w:pos="7277"/>
        </w:tabs>
        <w:spacing w:line="276" w:lineRule="auto"/>
        <w:jc w:val="both"/>
        <w:rPr>
          <w:color w:val="auto"/>
          <w:sz w:val="20"/>
          <w:szCs w:val="20"/>
          <w:u w:val="none"/>
        </w:rPr>
      </w:pPr>
      <w:r>
        <w:rPr>
          <w:color w:val="auto"/>
          <w:sz w:val="20"/>
          <w:szCs w:val="20"/>
          <w:u w:val="none"/>
        </w:rPr>
        <w:tab/>
      </w:r>
    </w:p>
    <w:p w14:paraId="2CB315B0" w14:textId="3E1C2EED" w:rsidR="00C56FBF" w:rsidRPr="00EC6A4C" w:rsidRDefault="00C56FBF" w:rsidP="00EC6A4C">
      <w:pPr>
        <w:spacing w:line="276" w:lineRule="auto"/>
        <w:jc w:val="both"/>
        <w:rPr>
          <w:color w:val="auto"/>
          <w:sz w:val="20"/>
          <w:szCs w:val="20"/>
          <w:u w:val="none"/>
        </w:rPr>
      </w:pPr>
      <w:r w:rsidRPr="00EC6A4C">
        <w:rPr>
          <w:color w:val="auto"/>
          <w:sz w:val="20"/>
          <w:szCs w:val="20"/>
          <w:u w:val="none"/>
        </w:rPr>
        <w:t>En vous remerciant de l’intérêt que vous voudrez bien porter à cette étude, nous restons à votre disposition pour toute question ou information complémentaire</w:t>
      </w:r>
      <w:r w:rsidR="0065089E">
        <w:rPr>
          <w:color w:val="auto"/>
          <w:sz w:val="20"/>
          <w:szCs w:val="20"/>
          <w:u w:val="none"/>
        </w:rPr>
        <w:t>.</w:t>
      </w:r>
      <w:r w:rsidRPr="00EC6A4C">
        <w:rPr>
          <w:color w:val="auto"/>
          <w:sz w:val="20"/>
          <w:szCs w:val="20"/>
          <w:u w:val="none"/>
        </w:rPr>
        <w:t xml:space="preserve"> </w:t>
      </w:r>
    </w:p>
    <w:p w14:paraId="6D53BDC7" w14:textId="77777777" w:rsidR="00C56FBF" w:rsidRPr="00EC6A4C" w:rsidRDefault="00C56FBF" w:rsidP="00EC6A4C">
      <w:pPr>
        <w:spacing w:line="276" w:lineRule="auto"/>
        <w:jc w:val="both"/>
        <w:rPr>
          <w:color w:val="auto"/>
          <w:sz w:val="20"/>
          <w:szCs w:val="20"/>
          <w:u w:val="none"/>
        </w:rPr>
      </w:pPr>
    </w:p>
    <w:p w14:paraId="40A46804" w14:textId="77777777" w:rsidR="00C56FBF" w:rsidRPr="00EC6A4C" w:rsidRDefault="00C56FBF" w:rsidP="00EC6A4C">
      <w:pPr>
        <w:spacing w:line="276" w:lineRule="auto"/>
        <w:jc w:val="both"/>
        <w:rPr>
          <w:color w:val="auto"/>
          <w:sz w:val="20"/>
          <w:szCs w:val="20"/>
          <w:u w:val="none"/>
        </w:rPr>
      </w:pPr>
      <w:r w:rsidRPr="00EC6A4C">
        <w:rPr>
          <w:color w:val="auto"/>
          <w:sz w:val="20"/>
          <w:szCs w:val="20"/>
          <w:u w:val="none"/>
        </w:rPr>
        <w:lastRenderedPageBreak/>
        <w:t>Bien confraternellement</w:t>
      </w:r>
      <w:bookmarkStart w:id="0" w:name="_GoBack"/>
      <w:bookmarkEnd w:id="0"/>
    </w:p>
    <w:p w14:paraId="2AEEF829" w14:textId="09AB378E" w:rsidR="00C56FBF" w:rsidRPr="00EC6A4C" w:rsidRDefault="00C56FBF" w:rsidP="00EC6A4C">
      <w:pPr>
        <w:spacing w:line="276" w:lineRule="auto"/>
        <w:jc w:val="both"/>
        <w:rPr>
          <w:b/>
          <w:color w:val="auto"/>
          <w:sz w:val="20"/>
          <w:szCs w:val="20"/>
          <w:u w:val="none"/>
        </w:rPr>
      </w:pPr>
      <w:r w:rsidRPr="00EC6A4C">
        <w:rPr>
          <w:b/>
          <w:color w:val="auto"/>
          <w:sz w:val="20"/>
          <w:szCs w:val="20"/>
          <w:u w:val="none"/>
        </w:rPr>
        <w:t>Lorène Zerah</w:t>
      </w:r>
      <w:r w:rsidR="00222753" w:rsidRPr="00EC6A4C">
        <w:rPr>
          <w:b/>
          <w:color w:val="auto"/>
          <w:sz w:val="20"/>
          <w:szCs w:val="20"/>
          <w:u w:val="none"/>
          <w:vertAlign w:val="superscript"/>
        </w:rPr>
        <w:t>1</w:t>
      </w:r>
      <w:proofErr w:type="gramStart"/>
      <w:r w:rsidR="00222753" w:rsidRPr="00EC6A4C">
        <w:rPr>
          <w:b/>
          <w:color w:val="auto"/>
          <w:sz w:val="20"/>
          <w:szCs w:val="20"/>
          <w:u w:val="none"/>
          <w:vertAlign w:val="superscript"/>
        </w:rPr>
        <w:t>,2</w:t>
      </w:r>
      <w:proofErr w:type="gramEnd"/>
      <w:r w:rsidR="00B20BB5" w:rsidRPr="003253D0">
        <w:rPr>
          <w:color w:val="auto"/>
          <w:sz w:val="20"/>
          <w:szCs w:val="20"/>
          <w:u w:val="none"/>
        </w:rPr>
        <w:t xml:space="preserve"> (06 10 54 70 75)</w:t>
      </w:r>
    </w:p>
    <w:p w14:paraId="4B26C29E" w14:textId="77777777" w:rsidR="00C56FBF" w:rsidRPr="00EC6A4C" w:rsidRDefault="00C56FBF" w:rsidP="00EC6A4C">
      <w:pPr>
        <w:spacing w:line="276" w:lineRule="auto"/>
        <w:jc w:val="both"/>
        <w:rPr>
          <w:b/>
          <w:color w:val="auto"/>
          <w:sz w:val="20"/>
          <w:szCs w:val="20"/>
          <w:u w:val="none"/>
        </w:rPr>
      </w:pPr>
    </w:p>
    <w:p w14:paraId="2B002821" w14:textId="77777777" w:rsidR="00FB3351" w:rsidRPr="00EC6A4C" w:rsidRDefault="00FB3351" w:rsidP="00EC6A4C">
      <w:pPr>
        <w:spacing w:line="276" w:lineRule="auto"/>
        <w:rPr>
          <w:b/>
          <w:color w:val="auto"/>
          <w:sz w:val="20"/>
          <w:szCs w:val="20"/>
          <w:u w:val="none"/>
        </w:rPr>
      </w:pPr>
      <w:r w:rsidRPr="00EC6A4C">
        <w:rPr>
          <w:b/>
          <w:color w:val="auto"/>
          <w:sz w:val="20"/>
          <w:szCs w:val="20"/>
          <w:u w:val="none"/>
        </w:rPr>
        <w:t>Pour le comité scientifique de l’étude :</w:t>
      </w:r>
    </w:p>
    <w:p w14:paraId="5AED9916" w14:textId="2193C734" w:rsidR="00222753" w:rsidRPr="00F061A5" w:rsidRDefault="00FB3351" w:rsidP="00EC6A4C">
      <w:pPr>
        <w:spacing w:line="276" w:lineRule="auto"/>
        <w:jc w:val="both"/>
        <w:rPr>
          <w:color w:val="auto"/>
          <w:sz w:val="20"/>
          <w:szCs w:val="20"/>
          <w:u w:val="none"/>
        </w:rPr>
      </w:pPr>
      <w:r w:rsidRPr="00EC6A4C">
        <w:rPr>
          <w:b/>
          <w:color w:val="auto"/>
          <w:sz w:val="20"/>
          <w:szCs w:val="20"/>
          <w:u w:val="none"/>
        </w:rPr>
        <w:t>Dr Dominique Bonnet-Zamponi</w:t>
      </w:r>
      <w:r w:rsidRPr="00EC6A4C">
        <w:rPr>
          <w:b/>
          <w:color w:val="auto"/>
          <w:sz w:val="20"/>
          <w:szCs w:val="20"/>
          <w:u w:val="none"/>
          <w:vertAlign w:val="superscript"/>
        </w:rPr>
        <w:t>1</w:t>
      </w:r>
      <w:proofErr w:type="gramStart"/>
      <w:r w:rsidRPr="00EC6A4C">
        <w:rPr>
          <w:b/>
          <w:color w:val="auto"/>
          <w:sz w:val="20"/>
          <w:szCs w:val="20"/>
          <w:u w:val="none"/>
          <w:vertAlign w:val="superscript"/>
        </w:rPr>
        <w:t>,2,3</w:t>
      </w:r>
      <w:proofErr w:type="gramEnd"/>
      <w:r w:rsidRPr="00EC6A4C">
        <w:rPr>
          <w:b/>
          <w:color w:val="auto"/>
          <w:sz w:val="20"/>
          <w:szCs w:val="20"/>
          <w:u w:val="none"/>
        </w:rPr>
        <w:t>,</w:t>
      </w:r>
      <w:r w:rsidRPr="00EC6A4C">
        <w:rPr>
          <w:color w:val="auto"/>
          <w:sz w:val="20"/>
          <w:szCs w:val="20"/>
          <w:u w:val="none"/>
        </w:rPr>
        <w:t xml:space="preserve"> </w:t>
      </w:r>
      <w:r w:rsidRPr="00EC6A4C">
        <w:rPr>
          <w:b/>
          <w:color w:val="auto"/>
          <w:sz w:val="20"/>
          <w:szCs w:val="20"/>
          <w:u w:val="none"/>
        </w:rPr>
        <w:t>Pr Jean-Philippe Collet</w:t>
      </w:r>
      <w:r w:rsidRPr="00EC6A4C">
        <w:rPr>
          <w:b/>
          <w:color w:val="auto"/>
          <w:sz w:val="20"/>
          <w:szCs w:val="20"/>
          <w:u w:val="none"/>
          <w:vertAlign w:val="superscript"/>
        </w:rPr>
        <w:t>1,4</w:t>
      </w:r>
      <w:r w:rsidRPr="00EC6A4C">
        <w:rPr>
          <w:b/>
          <w:color w:val="auto"/>
          <w:sz w:val="20"/>
          <w:szCs w:val="20"/>
          <w:u w:val="none"/>
        </w:rPr>
        <w:t>,</w:t>
      </w:r>
      <w:r w:rsidR="00222753">
        <w:rPr>
          <w:color w:val="auto"/>
          <w:sz w:val="20"/>
          <w:szCs w:val="20"/>
          <w:u w:val="none"/>
        </w:rPr>
        <w:t xml:space="preserve"> </w:t>
      </w:r>
      <w:r w:rsidRPr="00EC6A4C">
        <w:rPr>
          <w:b/>
          <w:color w:val="auto"/>
          <w:sz w:val="20"/>
          <w:szCs w:val="20"/>
          <w:u w:val="none"/>
        </w:rPr>
        <w:t>Dr Agnès Dechartres</w:t>
      </w:r>
      <w:r w:rsidRPr="00EC6A4C">
        <w:rPr>
          <w:b/>
          <w:color w:val="auto"/>
          <w:sz w:val="20"/>
          <w:szCs w:val="20"/>
          <w:u w:val="none"/>
          <w:vertAlign w:val="superscript"/>
        </w:rPr>
        <w:t>1,2</w:t>
      </w:r>
      <w:r w:rsidRPr="00EC6A4C">
        <w:rPr>
          <w:b/>
          <w:color w:val="auto"/>
          <w:sz w:val="20"/>
          <w:szCs w:val="20"/>
          <w:u w:val="none"/>
        </w:rPr>
        <w:t>,</w:t>
      </w:r>
      <w:r w:rsidRPr="00EC6A4C">
        <w:rPr>
          <w:color w:val="auto"/>
          <w:sz w:val="20"/>
          <w:szCs w:val="20"/>
          <w:u w:val="none"/>
        </w:rPr>
        <w:t xml:space="preserve"> </w:t>
      </w:r>
      <w:r w:rsidRPr="00EC6A4C">
        <w:rPr>
          <w:b/>
          <w:color w:val="auto"/>
          <w:sz w:val="20"/>
          <w:szCs w:val="20"/>
          <w:u w:val="none"/>
        </w:rPr>
        <w:t>Dr Paul Frappé</w:t>
      </w:r>
      <w:r w:rsidRPr="00EC6A4C">
        <w:rPr>
          <w:b/>
          <w:color w:val="auto"/>
          <w:sz w:val="20"/>
          <w:szCs w:val="20"/>
          <w:u w:val="none"/>
          <w:vertAlign w:val="superscript"/>
        </w:rPr>
        <w:t>5</w:t>
      </w:r>
      <w:r w:rsidRPr="00EC6A4C">
        <w:rPr>
          <w:b/>
          <w:color w:val="auto"/>
          <w:sz w:val="20"/>
          <w:szCs w:val="20"/>
          <w:u w:val="none"/>
        </w:rPr>
        <w:t xml:space="preserve">, </w:t>
      </w:r>
    </w:p>
    <w:p w14:paraId="4EB924A2" w14:textId="6FED8935" w:rsidR="00222753" w:rsidRDefault="00FB3351" w:rsidP="00EC6A4C">
      <w:pPr>
        <w:spacing w:line="276" w:lineRule="auto"/>
        <w:jc w:val="both"/>
        <w:rPr>
          <w:color w:val="auto"/>
          <w:sz w:val="20"/>
          <w:szCs w:val="20"/>
          <w:u w:val="none"/>
        </w:rPr>
      </w:pPr>
      <w:r w:rsidRPr="00EC6A4C">
        <w:rPr>
          <w:b/>
          <w:color w:val="auto"/>
          <w:sz w:val="20"/>
          <w:szCs w:val="20"/>
          <w:u w:val="none"/>
        </w:rPr>
        <w:t>Pr Florence Tubach</w:t>
      </w:r>
      <w:r w:rsidRPr="00EC6A4C">
        <w:rPr>
          <w:b/>
          <w:color w:val="auto"/>
          <w:sz w:val="20"/>
          <w:szCs w:val="20"/>
          <w:u w:val="none"/>
          <w:vertAlign w:val="superscript"/>
        </w:rPr>
        <w:t>1</w:t>
      </w:r>
      <w:proofErr w:type="gramStart"/>
      <w:r w:rsidRPr="00EC6A4C">
        <w:rPr>
          <w:b/>
          <w:color w:val="auto"/>
          <w:sz w:val="20"/>
          <w:szCs w:val="20"/>
          <w:u w:val="none"/>
          <w:vertAlign w:val="superscript"/>
        </w:rPr>
        <w:t>,2</w:t>
      </w:r>
      <w:proofErr w:type="gramEnd"/>
      <w:r w:rsidRPr="00EC6A4C">
        <w:rPr>
          <w:color w:val="auto"/>
          <w:sz w:val="20"/>
          <w:szCs w:val="20"/>
          <w:u w:val="none"/>
        </w:rPr>
        <w:t xml:space="preserve">, </w:t>
      </w:r>
    </w:p>
    <w:p w14:paraId="49452D8A" w14:textId="77777777" w:rsidR="00FB3351" w:rsidRPr="00EC6A4C" w:rsidRDefault="00FB3351" w:rsidP="00EC6A4C">
      <w:pPr>
        <w:spacing w:line="276" w:lineRule="auto"/>
        <w:jc w:val="both"/>
        <w:rPr>
          <w:color w:val="auto"/>
          <w:sz w:val="20"/>
          <w:szCs w:val="20"/>
          <w:u w:val="none"/>
        </w:rPr>
      </w:pPr>
      <w:r w:rsidRPr="00EC6A4C">
        <w:rPr>
          <w:color w:val="auto"/>
          <w:sz w:val="20"/>
          <w:szCs w:val="20"/>
          <w:u w:val="none"/>
        </w:rPr>
        <w:t>1. Sorbonne Université, INSERM</w:t>
      </w:r>
    </w:p>
    <w:p w14:paraId="7DF0D6C7" w14:textId="77777777" w:rsidR="00FB3351" w:rsidRPr="00EC6A4C" w:rsidRDefault="00FB3351" w:rsidP="00EC6A4C">
      <w:pPr>
        <w:spacing w:line="276" w:lineRule="auto"/>
        <w:jc w:val="both"/>
        <w:rPr>
          <w:color w:val="auto"/>
          <w:sz w:val="20"/>
          <w:szCs w:val="20"/>
          <w:u w:val="none"/>
        </w:rPr>
      </w:pPr>
      <w:r w:rsidRPr="00EC6A4C">
        <w:rPr>
          <w:color w:val="auto"/>
          <w:sz w:val="20"/>
          <w:szCs w:val="20"/>
          <w:u w:val="none"/>
        </w:rPr>
        <w:t xml:space="preserve">2. Centre de Pharmaco-épidémiologie de l’APHP, Hôpital Pitié Salpêtrière, Paris, France. </w:t>
      </w:r>
    </w:p>
    <w:p w14:paraId="1B6C93B8" w14:textId="77777777" w:rsidR="00FB3351" w:rsidRPr="00EC6A4C" w:rsidRDefault="00FB3351" w:rsidP="00EC6A4C">
      <w:pPr>
        <w:spacing w:line="276" w:lineRule="auto"/>
        <w:jc w:val="both"/>
        <w:rPr>
          <w:color w:val="auto"/>
          <w:sz w:val="20"/>
          <w:szCs w:val="20"/>
          <w:u w:val="none"/>
        </w:rPr>
      </w:pPr>
      <w:r w:rsidRPr="00EC6A4C">
        <w:rPr>
          <w:color w:val="auto"/>
          <w:sz w:val="20"/>
          <w:szCs w:val="20"/>
          <w:u w:val="none"/>
        </w:rPr>
        <w:t>3. Observatoire des Médicaments, des Dispositifs médicaux et de l’Innovation Thérapeutique d’Ile-de-France (OMEDIT IDF), Paris, France</w:t>
      </w:r>
    </w:p>
    <w:p w14:paraId="2F6BC466" w14:textId="77777777" w:rsidR="00FB3351" w:rsidRPr="00EC6A4C" w:rsidRDefault="00FB3351" w:rsidP="00EC6A4C">
      <w:pPr>
        <w:spacing w:line="276" w:lineRule="auto"/>
        <w:jc w:val="both"/>
        <w:rPr>
          <w:color w:val="auto"/>
          <w:sz w:val="20"/>
          <w:szCs w:val="20"/>
          <w:u w:val="none"/>
        </w:rPr>
      </w:pPr>
      <w:r w:rsidRPr="00EC6A4C">
        <w:rPr>
          <w:color w:val="auto"/>
          <w:sz w:val="20"/>
          <w:szCs w:val="20"/>
          <w:u w:val="none"/>
        </w:rPr>
        <w:t>4. Département de cardiologie de l’APHP, Hôpital Pitié Salpêtrière, Paris, France.</w:t>
      </w:r>
    </w:p>
    <w:p w14:paraId="545A4CA1" w14:textId="77777777" w:rsidR="00FB3351" w:rsidRPr="00EC6A4C" w:rsidRDefault="00FB3351" w:rsidP="00EC6A4C">
      <w:pPr>
        <w:spacing w:line="276" w:lineRule="auto"/>
        <w:jc w:val="both"/>
        <w:rPr>
          <w:b/>
          <w:color w:val="auto"/>
          <w:sz w:val="20"/>
          <w:szCs w:val="20"/>
          <w:u w:val="none"/>
        </w:rPr>
      </w:pPr>
      <w:r w:rsidRPr="00EC6A4C">
        <w:rPr>
          <w:color w:val="auto"/>
          <w:sz w:val="20"/>
          <w:szCs w:val="20"/>
          <w:u w:val="none"/>
        </w:rPr>
        <w:t>5. Institut de recherche médecine générale IRMG</w:t>
      </w:r>
    </w:p>
    <w:p w14:paraId="41B72B2D" w14:textId="77777777" w:rsidR="00FB3351" w:rsidRPr="00EC6A4C" w:rsidRDefault="00FB3351" w:rsidP="00EC6A4C">
      <w:pPr>
        <w:spacing w:line="276" w:lineRule="auto"/>
        <w:jc w:val="both"/>
        <w:rPr>
          <w:b/>
          <w:color w:val="auto"/>
          <w:sz w:val="20"/>
          <w:szCs w:val="20"/>
          <w:u w:val="none"/>
        </w:rPr>
      </w:pPr>
    </w:p>
    <w:p w14:paraId="3CF81B4D" w14:textId="77777777" w:rsidR="00C56FBF" w:rsidRPr="00EC6A4C" w:rsidRDefault="00C56FBF" w:rsidP="00EC6A4C">
      <w:pPr>
        <w:spacing w:line="276" w:lineRule="auto"/>
        <w:jc w:val="both"/>
        <w:rPr>
          <w:b/>
          <w:color w:val="auto"/>
          <w:sz w:val="20"/>
          <w:szCs w:val="20"/>
          <w:u w:val="none"/>
        </w:rPr>
      </w:pPr>
    </w:p>
    <w:p w14:paraId="437E6FD4" w14:textId="77777777" w:rsidR="00C56FBF" w:rsidRPr="00EC6A4C" w:rsidRDefault="00C56FBF" w:rsidP="00EC6A4C">
      <w:pPr>
        <w:spacing w:line="276" w:lineRule="auto"/>
        <w:jc w:val="both"/>
        <w:rPr>
          <w:b/>
          <w:color w:val="auto"/>
          <w:sz w:val="20"/>
          <w:szCs w:val="20"/>
          <w:u w:val="none"/>
        </w:rPr>
      </w:pPr>
    </w:p>
    <w:p w14:paraId="6CD77348" w14:textId="77777777" w:rsidR="00DC75D1" w:rsidRPr="00EC6A4C" w:rsidRDefault="00DC75D1" w:rsidP="00EC6A4C">
      <w:pPr>
        <w:spacing w:line="276" w:lineRule="auto"/>
        <w:rPr>
          <w:color w:val="auto"/>
          <w:sz w:val="20"/>
          <w:szCs w:val="20"/>
          <w:u w:val="none"/>
        </w:rPr>
      </w:pPr>
    </w:p>
    <w:sectPr w:rsidR="00DC75D1" w:rsidRPr="00EC6A4C" w:rsidSect="00751E61">
      <w:type w:val="continuous"/>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1EF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10888"/>
    <w:multiLevelType w:val="multilevel"/>
    <w:tmpl w:val="E2A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mponi dominique">
    <w15:presenceInfo w15:providerId="Windows Live" w15:userId="617d5c5529f32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9A"/>
    <w:rsid w:val="00034F44"/>
    <w:rsid w:val="00107AD7"/>
    <w:rsid w:val="00145C54"/>
    <w:rsid w:val="001729DB"/>
    <w:rsid w:val="001E7C0C"/>
    <w:rsid w:val="00200869"/>
    <w:rsid w:val="00205410"/>
    <w:rsid w:val="002067DF"/>
    <w:rsid w:val="002173F4"/>
    <w:rsid w:val="00222753"/>
    <w:rsid w:val="00223262"/>
    <w:rsid w:val="003253D0"/>
    <w:rsid w:val="00352E08"/>
    <w:rsid w:val="00373752"/>
    <w:rsid w:val="00396E90"/>
    <w:rsid w:val="003A4A9F"/>
    <w:rsid w:val="00406E8C"/>
    <w:rsid w:val="00420114"/>
    <w:rsid w:val="00436604"/>
    <w:rsid w:val="00467981"/>
    <w:rsid w:val="00590B42"/>
    <w:rsid w:val="005D0536"/>
    <w:rsid w:val="005D174B"/>
    <w:rsid w:val="005F5C96"/>
    <w:rsid w:val="0065089E"/>
    <w:rsid w:val="00665206"/>
    <w:rsid w:val="0068229D"/>
    <w:rsid w:val="006E261A"/>
    <w:rsid w:val="00715574"/>
    <w:rsid w:val="007254E7"/>
    <w:rsid w:val="0073489C"/>
    <w:rsid w:val="00751E61"/>
    <w:rsid w:val="0077118C"/>
    <w:rsid w:val="00782998"/>
    <w:rsid w:val="00791FAD"/>
    <w:rsid w:val="007B2D1E"/>
    <w:rsid w:val="00816706"/>
    <w:rsid w:val="00896111"/>
    <w:rsid w:val="008B2CE6"/>
    <w:rsid w:val="008D73E3"/>
    <w:rsid w:val="0097576E"/>
    <w:rsid w:val="009A25B1"/>
    <w:rsid w:val="009E6FD9"/>
    <w:rsid w:val="00A25063"/>
    <w:rsid w:val="00A76181"/>
    <w:rsid w:val="00A976DD"/>
    <w:rsid w:val="00B1055F"/>
    <w:rsid w:val="00B17CBC"/>
    <w:rsid w:val="00B20BB5"/>
    <w:rsid w:val="00B24E8B"/>
    <w:rsid w:val="00B321A6"/>
    <w:rsid w:val="00B47388"/>
    <w:rsid w:val="00BC7745"/>
    <w:rsid w:val="00BF02C9"/>
    <w:rsid w:val="00C002C9"/>
    <w:rsid w:val="00C05030"/>
    <w:rsid w:val="00C31FF9"/>
    <w:rsid w:val="00C568A1"/>
    <w:rsid w:val="00C56FBF"/>
    <w:rsid w:val="00C72373"/>
    <w:rsid w:val="00C806A9"/>
    <w:rsid w:val="00C928A8"/>
    <w:rsid w:val="00CB389A"/>
    <w:rsid w:val="00D12D3C"/>
    <w:rsid w:val="00D21AE3"/>
    <w:rsid w:val="00D63296"/>
    <w:rsid w:val="00D64BD3"/>
    <w:rsid w:val="00D82DEC"/>
    <w:rsid w:val="00D87CC5"/>
    <w:rsid w:val="00DB203B"/>
    <w:rsid w:val="00DC0842"/>
    <w:rsid w:val="00DC75D1"/>
    <w:rsid w:val="00E33D4F"/>
    <w:rsid w:val="00E52B05"/>
    <w:rsid w:val="00EB2461"/>
    <w:rsid w:val="00EC6A4C"/>
    <w:rsid w:val="00EF3899"/>
    <w:rsid w:val="00F061A5"/>
    <w:rsid w:val="00F830C8"/>
    <w:rsid w:val="00FB3351"/>
    <w:rsid w:val="00FB71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5DA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943634" w:themeColor="accent2" w:themeShade="BF"/>
        <w:sz w:val="24"/>
        <w:szCs w:val="24"/>
        <w:u w:val="single"/>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E6FD9"/>
  </w:style>
  <w:style w:type="character" w:styleId="lev">
    <w:name w:val="Strong"/>
    <w:basedOn w:val="Policepardfaut"/>
    <w:uiPriority w:val="22"/>
    <w:qFormat/>
    <w:rsid w:val="00436604"/>
    <w:rPr>
      <w:b/>
      <w:bCs/>
    </w:rPr>
  </w:style>
  <w:style w:type="character" w:styleId="Marquedannotation">
    <w:name w:val="annotation reference"/>
    <w:basedOn w:val="Policepardfaut"/>
    <w:uiPriority w:val="99"/>
    <w:semiHidden/>
    <w:unhideWhenUsed/>
    <w:rsid w:val="00222753"/>
    <w:rPr>
      <w:sz w:val="16"/>
      <w:szCs w:val="16"/>
    </w:rPr>
  </w:style>
  <w:style w:type="paragraph" w:styleId="Commentaire">
    <w:name w:val="annotation text"/>
    <w:basedOn w:val="Normal"/>
    <w:link w:val="CommentaireCar"/>
    <w:uiPriority w:val="99"/>
    <w:semiHidden/>
    <w:unhideWhenUsed/>
    <w:rsid w:val="00222753"/>
    <w:rPr>
      <w:sz w:val="20"/>
      <w:szCs w:val="20"/>
    </w:rPr>
  </w:style>
  <w:style w:type="character" w:customStyle="1" w:styleId="CommentaireCar">
    <w:name w:val="Commentaire Car"/>
    <w:basedOn w:val="Policepardfaut"/>
    <w:link w:val="Commentaire"/>
    <w:uiPriority w:val="99"/>
    <w:semiHidden/>
    <w:rsid w:val="00222753"/>
    <w:rPr>
      <w:sz w:val="20"/>
      <w:szCs w:val="20"/>
    </w:rPr>
  </w:style>
  <w:style w:type="paragraph" w:styleId="Objetducommentaire">
    <w:name w:val="annotation subject"/>
    <w:basedOn w:val="Commentaire"/>
    <w:next w:val="Commentaire"/>
    <w:link w:val="ObjetducommentaireCar"/>
    <w:uiPriority w:val="99"/>
    <w:semiHidden/>
    <w:unhideWhenUsed/>
    <w:rsid w:val="00222753"/>
    <w:rPr>
      <w:b/>
      <w:bCs/>
    </w:rPr>
  </w:style>
  <w:style w:type="character" w:customStyle="1" w:styleId="ObjetducommentaireCar">
    <w:name w:val="Objet du commentaire Car"/>
    <w:basedOn w:val="CommentaireCar"/>
    <w:link w:val="Objetducommentaire"/>
    <w:uiPriority w:val="99"/>
    <w:semiHidden/>
    <w:rsid w:val="00222753"/>
    <w:rPr>
      <w:b/>
      <w:bCs/>
      <w:sz w:val="20"/>
      <w:szCs w:val="20"/>
    </w:rPr>
  </w:style>
  <w:style w:type="paragraph" w:styleId="Textedebulles">
    <w:name w:val="Balloon Text"/>
    <w:basedOn w:val="Normal"/>
    <w:link w:val="TextedebullesCar"/>
    <w:uiPriority w:val="99"/>
    <w:semiHidden/>
    <w:unhideWhenUsed/>
    <w:rsid w:val="002227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75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943634" w:themeColor="accent2" w:themeShade="BF"/>
        <w:sz w:val="24"/>
        <w:szCs w:val="24"/>
        <w:u w:val="single"/>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9E6FD9"/>
  </w:style>
  <w:style w:type="character" w:styleId="lev">
    <w:name w:val="Strong"/>
    <w:basedOn w:val="Policepardfaut"/>
    <w:uiPriority w:val="22"/>
    <w:qFormat/>
    <w:rsid w:val="00436604"/>
    <w:rPr>
      <w:b/>
      <w:bCs/>
    </w:rPr>
  </w:style>
  <w:style w:type="character" w:styleId="Marquedannotation">
    <w:name w:val="annotation reference"/>
    <w:basedOn w:val="Policepardfaut"/>
    <w:uiPriority w:val="99"/>
    <w:semiHidden/>
    <w:unhideWhenUsed/>
    <w:rsid w:val="00222753"/>
    <w:rPr>
      <w:sz w:val="16"/>
      <w:szCs w:val="16"/>
    </w:rPr>
  </w:style>
  <w:style w:type="paragraph" w:styleId="Commentaire">
    <w:name w:val="annotation text"/>
    <w:basedOn w:val="Normal"/>
    <w:link w:val="CommentaireCar"/>
    <w:uiPriority w:val="99"/>
    <w:semiHidden/>
    <w:unhideWhenUsed/>
    <w:rsid w:val="00222753"/>
    <w:rPr>
      <w:sz w:val="20"/>
      <w:szCs w:val="20"/>
    </w:rPr>
  </w:style>
  <w:style w:type="character" w:customStyle="1" w:styleId="CommentaireCar">
    <w:name w:val="Commentaire Car"/>
    <w:basedOn w:val="Policepardfaut"/>
    <w:link w:val="Commentaire"/>
    <w:uiPriority w:val="99"/>
    <w:semiHidden/>
    <w:rsid w:val="00222753"/>
    <w:rPr>
      <w:sz w:val="20"/>
      <w:szCs w:val="20"/>
    </w:rPr>
  </w:style>
  <w:style w:type="paragraph" w:styleId="Objetducommentaire">
    <w:name w:val="annotation subject"/>
    <w:basedOn w:val="Commentaire"/>
    <w:next w:val="Commentaire"/>
    <w:link w:val="ObjetducommentaireCar"/>
    <w:uiPriority w:val="99"/>
    <w:semiHidden/>
    <w:unhideWhenUsed/>
    <w:rsid w:val="00222753"/>
    <w:rPr>
      <w:b/>
      <w:bCs/>
    </w:rPr>
  </w:style>
  <w:style w:type="character" w:customStyle="1" w:styleId="ObjetducommentaireCar">
    <w:name w:val="Objet du commentaire Car"/>
    <w:basedOn w:val="CommentaireCar"/>
    <w:link w:val="Objetducommentaire"/>
    <w:uiPriority w:val="99"/>
    <w:semiHidden/>
    <w:rsid w:val="00222753"/>
    <w:rPr>
      <w:b/>
      <w:bCs/>
      <w:sz w:val="20"/>
      <w:szCs w:val="20"/>
    </w:rPr>
  </w:style>
  <w:style w:type="paragraph" w:styleId="Textedebulles">
    <w:name w:val="Balloon Text"/>
    <w:basedOn w:val="Normal"/>
    <w:link w:val="TextedebullesCar"/>
    <w:uiPriority w:val="99"/>
    <w:semiHidden/>
    <w:unhideWhenUsed/>
    <w:rsid w:val="002227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2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8461">
      <w:bodyDiv w:val="1"/>
      <w:marLeft w:val="0"/>
      <w:marRight w:val="0"/>
      <w:marTop w:val="0"/>
      <w:marBottom w:val="0"/>
      <w:divBdr>
        <w:top w:val="none" w:sz="0" w:space="0" w:color="auto"/>
        <w:left w:val="none" w:sz="0" w:space="0" w:color="auto"/>
        <w:bottom w:val="none" w:sz="0" w:space="0" w:color="auto"/>
        <w:right w:val="none" w:sz="0" w:space="0" w:color="auto"/>
      </w:divBdr>
    </w:div>
    <w:div w:id="135472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3264</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De Chine</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 Brothers Chicago unlimited</dc:creator>
  <cp:keywords/>
  <dc:description/>
  <cp:lastModifiedBy>Blues Brothers Chicago unlimited</cp:lastModifiedBy>
  <cp:revision>16</cp:revision>
  <dcterms:created xsi:type="dcterms:W3CDTF">2018-10-04T08:41:00Z</dcterms:created>
  <dcterms:modified xsi:type="dcterms:W3CDTF">2018-10-09T11:59:00Z</dcterms:modified>
</cp:coreProperties>
</file>