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EE246" w14:textId="77777777" w:rsidR="00887030" w:rsidRDefault="00CA07A6" w:rsidP="00B652D4">
      <w:pPr>
        <w:pStyle w:val="Corps"/>
        <w:pBdr>
          <w:left w:val="nil"/>
        </w:pBdr>
      </w:pPr>
      <w:r>
        <w:t xml:space="preserve">Le décret RGPD entre en application le 25 mai </w:t>
      </w:r>
      <w:proofErr w:type="gramStart"/>
      <w:r>
        <w:t>2018 .</w:t>
      </w:r>
      <w:proofErr w:type="gramEnd"/>
      <w:r w:rsidR="00487B92">
        <w:t xml:space="preserve">( </w:t>
      </w:r>
      <w:r w:rsidR="00487B92" w:rsidRPr="007B52DF">
        <w:rPr>
          <w:color w:val="0079BF" w:themeColor="accent1" w:themeShade="BF"/>
        </w:rPr>
        <w:t xml:space="preserve">texte en PDF </w:t>
      </w:r>
      <w:hyperlink r:id="rId8" w:history="1">
        <w:r w:rsidR="00487B92" w:rsidRPr="007B52DF">
          <w:rPr>
            <w:rStyle w:val="Lienhypertexte"/>
            <w:color w:val="0079BF" w:themeColor="accent1" w:themeShade="BF"/>
          </w:rPr>
          <w:t>ici</w:t>
        </w:r>
      </w:hyperlink>
      <w:r w:rsidR="00487B92" w:rsidRPr="007B52DF">
        <w:rPr>
          <w:color w:val="0079BF" w:themeColor="accent1" w:themeShade="BF"/>
        </w:rPr>
        <w:t xml:space="preserve"> </w:t>
      </w:r>
      <w:r w:rsidR="00487B92">
        <w:t>)</w:t>
      </w:r>
    </w:p>
    <w:p w14:paraId="5C6B90F6" w14:textId="77777777" w:rsidR="0069696D" w:rsidRDefault="0069696D" w:rsidP="00B652D4">
      <w:pPr>
        <w:pStyle w:val="Corps"/>
        <w:pBdr>
          <w:left w:val="nil"/>
        </w:pBdr>
      </w:pPr>
      <w:r>
        <w:t xml:space="preserve">Il s’agit du décret d’application de la loi </w:t>
      </w:r>
      <w:r w:rsidR="006652EF">
        <w:t xml:space="preserve">européenne </w:t>
      </w:r>
      <w:r>
        <w:t xml:space="preserve">votée en 2016 quant à la protection des données individuelles, l’objectif de la loi étant de renforcer le droit des personnes et responsabiliser les </w:t>
      </w:r>
      <w:proofErr w:type="gramStart"/>
      <w:r>
        <w:t>acteurs .</w:t>
      </w:r>
      <w:proofErr w:type="gramEnd"/>
    </w:p>
    <w:p w14:paraId="25A51F2F" w14:textId="77777777" w:rsidR="0069696D" w:rsidRDefault="0069696D" w:rsidP="00B652D4">
      <w:pPr>
        <w:pStyle w:val="Corps"/>
        <w:pBdr>
          <w:left w:val="nil"/>
        </w:pBdr>
      </w:pPr>
    </w:p>
    <w:p w14:paraId="4AAA248B" w14:textId="77777777" w:rsidR="0069696D" w:rsidRDefault="0069696D" w:rsidP="00B652D4">
      <w:pPr>
        <w:pStyle w:val="Corps"/>
        <w:pBdr>
          <w:left w:val="nil"/>
        </w:pBdr>
      </w:pPr>
      <w:r>
        <w:t xml:space="preserve">Ce texte vient renforcer un certain nombre de points de sécurisation des données personnelles qui avaient déjà été imposés </w:t>
      </w:r>
      <w:r w:rsidR="00B61E4D">
        <w:t xml:space="preserve">aux professionnels de Santé </w:t>
      </w:r>
      <w:r>
        <w:t xml:space="preserve">par la Loi Informatique et Libertés de 1978 ( </w:t>
      </w:r>
      <w:hyperlink r:id="rId9" w:history="1">
        <w:r w:rsidRPr="0069696D">
          <w:rPr>
            <w:rStyle w:val="Lienhypertexte"/>
          </w:rPr>
          <w:t>ici</w:t>
        </w:r>
      </w:hyperlink>
      <w:r>
        <w:t xml:space="preserve"> )</w:t>
      </w:r>
      <w:r w:rsidR="00B61E4D">
        <w:t xml:space="preserve"> </w:t>
      </w:r>
      <w:r w:rsidR="006652EF">
        <w:t>, l’étend</w:t>
      </w:r>
      <w:r w:rsidR="00B61E4D">
        <w:t xml:space="preserve"> </w:t>
      </w:r>
      <w:r w:rsidR="006652EF">
        <w:t xml:space="preserve">bien au delà du domaine de la Santé </w:t>
      </w:r>
      <w:r w:rsidR="00B61E4D">
        <w:t>et alou</w:t>
      </w:r>
      <w:r w:rsidR="006652EF">
        <w:t>rdit</w:t>
      </w:r>
      <w:r w:rsidR="00B61E4D">
        <w:t xml:space="preserve"> considérablement les sanctions financières des contrevenants.</w:t>
      </w:r>
    </w:p>
    <w:p w14:paraId="7C48B37F" w14:textId="77777777" w:rsidR="00933975" w:rsidRDefault="00933975" w:rsidP="00B652D4">
      <w:pPr>
        <w:pStyle w:val="Corps"/>
        <w:pBdr>
          <w:left w:val="nil"/>
        </w:pBdr>
      </w:pPr>
    </w:p>
    <w:p w14:paraId="0C1B0886" w14:textId="77777777" w:rsidR="00933975" w:rsidRDefault="00933975" w:rsidP="00B652D4">
      <w:pPr>
        <w:pStyle w:val="Corps"/>
        <w:pBdr>
          <w:left w:val="nil"/>
        </w:pBdr>
      </w:pPr>
      <w:r>
        <w:t xml:space="preserve">Sur le fond, le secret médical en sort renforcé, mais avec un libre </w:t>
      </w:r>
      <w:proofErr w:type="spellStart"/>
      <w:r>
        <w:t>accés</w:t>
      </w:r>
      <w:proofErr w:type="spellEnd"/>
      <w:r>
        <w:t xml:space="preserve"> et un droit de </w:t>
      </w:r>
      <w:proofErr w:type="gramStart"/>
      <w:r>
        <w:t>modification ,</w:t>
      </w:r>
      <w:proofErr w:type="gramEnd"/>
      <w:r>
        <w:t xml:space="preserve"> rectification, suppression de ses données par le patient lui même.</w:t>
      </w:r>
    </w:p>
    <w:p w14:paraId="0422BA0D" w14:textId="77777777" w:rsidR="007B52DF" w:rsidRDefault="007B52DF" w:rsidP="00B652D4">
      <w:pPr>
        <w:pStyle w:val="Corps"/>
        <w:pBdr>
          <w:left w:val="nil"/>
        </w:pBdr>
        <w:rPr>
          <w:b/>
          <w:sz w:val="28"/>
        </w:rPr>
      </w:pPr>
    </w:p>
    <w:p w14:paraId="43482F22" w14:textId="77777777" w:rsidR="00887030" w:rsidRPr="007B52DF" w:rsidRDefault="00CA07A6" w:rsidP="00B652D4">
      <w:pPr>
        <w:pStyle w:val="Corps"/>
        <w:pBdr>
          <w:left w:val="nil"/>
        </w:pBdr>
        <w:rPr>
          <w:b/>
          <w:sz w:val="28"/>
        </w:rPr>
      </w:pPr>
      <w:r w:rsidRPr="007B52DF">
        <w:rPr>
          <w:b/>
          <w:sz w:val="28"/>
        </w:rPr>
        <w:t>Je suis médecin libéral, suis je concerné ?</w:t>
      </w:r>
    </w:p>
    <w:p w14:paraId="4344FDD9" w14:textId="77777777" w:rsidR="00887030" w:rsidRDefault="00887030" w:rsidP="00B652D4">
      <w:pPr>
        <w:pStyle w:val="Corps"/>
        <w:pBdr>
          <w:left w:val="nil"/>
        </w:pBdr>
      </w:pPr>
    </w:p>
    <w:p w14:paraId="48CB4725" w14:textId="77777777" w:rsidR="00887030" w:rsidRDefault="00B61E4D" w:rsidP="00B652D4">
      <w:pPr>
        <w:pStyle w:val="Corps"/>
        <w:pBdr>
          <w:left w:val="nil"/>
        </w:pBdr>
      </w:pPr>
      <w:r>
        <w:t>Bien sûr, comme les médecins l’étaient par la Loi informatique et Liberté et il est sans doute utile de faire quelques  brefs rappels.</w:t>
      </w:r>
    </w:p>
    <w:p w14:paraId="39754410" w14:textId="77777777" w:rsidR="00B61E4D" w:rsidRDefault="00B61E4D" w:rsidP="00B652D4">
      <w:pPr>
        <w:pStyle w:val="Corps"/>
        <w:pBdr>
          <w:left w:val="nil"/>
        </w:pBdr>
      </w:pPr>
    </w:p>
    <w:p w14:paraId="62C0E9AF" w14:textId="77777777" w:rsidR="00887030" w:rsidRDefault="00B61E4D" w:rsidP="00B652D4">
      <w:pPr>
        <w:pStyle w:val="Corps"/>
        <w:pBdr>
          <w:left w:val="nil"/>
        </w:pBdr>
      </w:pPr>
      <w:r>
        <w:t>La Loi</w:t>
      </w:r>
      <w:r w:rsidR="00CA07A6">
        <w:t xml:space="preserve"> s’applique </w:t>
      </w:r>
      <w:r>
        <w:t xml:space="preserve"> sur tout le territoire européen, </w:t>
      </w:r>
      <w:r w:rsidR="00CA07A6">
        <w:t>à toute société, entreprise ou particulier détenant des données personnelles et amené à les traiter, dans le cadre d’une activité professionnelle.</w:t>
      </w:r>
    </w:p>
    <w:p w14:paraId="1DD1D08B" w14:textId="77777777" w:rsidR="007B52DF" w:rsidRDefault="007B52DF" w:rsidP="00B652D4">
      <w:pPr>
        <w:pStyle w:val="Corps"/>
        <w:pBdr>
          <w:left w:val="nil"/>
        </w:pBdr>
      </w:pPr>
    </w:p>
    <w:p w14:paraId="153A228A" w14:textId="77777777" w:rsidR="00887030" w:rsidRDefault="00CA07A6" w:rsidP="00B652D4">
      <w:pPr>
        <w:pStyle w:val="Corps"/>
        <w:pBdr>
          <w:left w:val="nil"/>
        </w:pBdr>
      </w:pPr>
      <w:r>
        <w:t xml:space="preserve">Chaque individu est propriétaire de ses données personnelles et il doit, outre la propriété absolue,  en garder la </w:t>
      </w:r>
      <w:proofErr w:type="gramStart"/>
      <w:r>
        <w:t>maitrise .</w:t>
      </w:r>
      <w:proofErr w:type="gramEnd"/>
    </w:p>
    <w:p w14:paraId="724BCAE4" w14:textId="77777777" w:rsidR="007B52DF" w:rsidRDefault="007B52DF" w:rsidP="00B652D4">
      <w:pPr>
        <w:pStyle w:val="Corps"/>
        <w:pBdr>
          <w:left w:val="nil"/>
        </w:pBdr>
      </w:pPr>
    </w:p>
    <w:p w14:paraId="60B386F6" w14:textId="77777777" w:rsidR="006652EF" w:rsidRDefault="00CA07A6" w:rsidP="00B652D4">
      <w:pPr>
        <w:pStyle w:val="Corps"/>
        <w:pBdr>
          <w:left w:val="nil"/>
        </w:pBdr>
      </w:pPr>
      <w:r>
        <w:t xml:space="preserve">Les données personnelles sont celles qui </w:t>
      </w:r>
      <w:r w:rsidR="007B52DF">
        <w:t xml:space="preserve">concernent un individu, son identité et/ou </w:t>
      </w:r>
      <w:r w:rsidR="006652EF">
        <w:t xml:space="preserve">qui </w:t>
      </w:r>
      <w:r w:rsidR="007B52DF">
        <w:t xml:space="preserve">permettent de </w:t>
      </w:r>
      <w:proofErr w:type="gramStart"/>
      <w:r w:rsidR="007B52DF">
        <w:t>l’identifier .</w:t>
      </w:r>
      <w:proofErr w:type="gramEnd"/>
      <w:r w:rsidR="007B52DF">
        <w:t xml:space="preserve"> </w:t>
      </w:r>
    </w:p>
    <w:p w14:paraId="624D6834" w14:textId="77777777" w:rsidR="007B52DF" w:rsidRDefault="007B52DF" w:rsidP="00B652D4">
      <w:pPr>
        <w:pStyle w:val="Corps"/>
        <w:pBdr>
          <w:left w:val="nil"/>
        </w:pBdr>
      </w:pPr>
      <w:r>
        <w:t xml:space="preserve">La collecte, l’utilisation, la conservation, la modification de ces données constituent leur « traitement </w:t>
      </w:r>
      <w:proofErr w:type="gramStart"/>
      <w:r>
        <w:t>« </w:t>
      </w:r>
      <w:r w:rsidR="00CA07A6">
        <w:t>.</w:t>
      </w:r>
      <w:proofErr w:type="gramEnd"/>
      <w:r w:rsidR="00CA07A6">
        <w:t xml:space="preserve"> </w:t>
      </w:r>
    </w:p>
    <w:p w14:paraId="4EA36EC1" w14:textId="77777777" w:rsidR="00887030" w:rsidRDefault="00CA07A6" w:rsidP="00B652D4">
      <w:pPr>
        <w:pStyle w:val="Corps"/>
        <w:pBdr>
          <w:left w:val="nil"/>
        </w:pBdr>
      </w:pPr>
      <w:r>
        <w:t xml:space="preserve">Tout médecin conservant les données-patients relève donc de cette Loi, qu’il soit équipé d’un logiciel métier ou </w:t>
      </w:r>
      <w:r w:rsidRPr="00B61E4D">
        <w:rPr>
          <w:color w:val="C00000"/>
          <w:u w:val="single"/>
        </w:rPr>
        <w:t>exerce avec des dossiers papier</w:t>
      </w:r>
      <w:r>
        <w:t>.</w:t>
      </w:r>
    </w:p>
    <w:p w14:paraId="6EDCB01C" w14:textId="77777777" w:rsidR="00B61E4D" w:rsidRDefault="00B61E4D" w:rsidP="00B652D4">
      <w:pPr>
        <w:pStyle w:val="Corps"/>
        <w:pBdr>
          <w:left w:val="nil"/>
        </w:pBdr>
      </w:pPr>
    </w:p>
    <w:p w14:paraId="235D25BF" w14:textId="77777777" w:rsidR="00887030" w:rsidRDefault="00CA07A6" w:rsidP="00B652D4">
      <w:pPr>
        <w:pStyle w:val="Corps"/>
        <w:pBdr>
          <w:left w:val="nil"/>
        </w:pBdr>
      </w:pPr>
      <w:r>
        <w:t>En pratique :</w:t>
      </w:r>
    </w:p>
    <w:p w14:paraId="477DE8BA" w14:textId="77777777" w:rsidR="00887030" w:rsidRDefault="00CA07A6" w:rsidP="00B652D4">
      <w:pPr>
        <w:pStyle w:val="Corps"/>
        <w:numPr>
          <w:ilvl w:val="0"/>
          <w:numId w:val="2"/>
        </w:numPr>
        <w:pBdr>
          <w:left w:val="nil"/>
        </w:pBdr>
      </w:pPr>
      <w:r>
        <w:t>l’</w:t>
      </w:r>
      <w:proofErr w:type="spellStart"/>
      <w:r>
        <w:t>accés</w:t>
      </w:r>
      <w:proofErr w:type="spellEnd"/>
      <w:r>
        <w:t xml:space="preserve"> au logiciel métier doit être sécurisé par un mot de </w:t>
      </w:r>
      <w:proofErr w:type="gramStart"/>
      <w:r>
        <w:t>passe ,</w:t>
      </w:r>
      <w:proofErr w:type="gramEnd"/>
      <w:r>
        <w:t xml:space="preserve"> lequel doit être changé au minimum tous les 6 mois et conservé dans un lieu sûr ( pas de post </w:t>
      </w:r>
      <w:proofErr w:type="spellStart"/>
      <w:r>
        <w:t>it</w:t>
      </w:r>
      <w:proofErr w:type="spellEnd"/>
      <w:r>
        <w:t xml:space="preserve"> collé au bas de l’écran )</w:t>
      </w:r>
    </w:p>
    <w:p w14:paraId="44560754" w14:textId="77777777" w:rsidR="00887030" w:rsidRDefault="00CA07A6" w:rsidP="00B652D4">
      <w:pPr>
        <w:pStyle w:val="Corps"/>
        <w:numPr>
          <w:ilvl w:val="0"/>
          <w:numId w:val="2"/>
        </w:numPr>
        <w:pBdr>
          <w:left w:val="nil"/>
        </w:pBdr>
      </w:pPr>
      <w:r>
        <w:t>Le clavier doit être verrouillé en fin d’utilisation.</w:t>
      </w:r>
    </w:p>
    <w:p w14:paraId="3364009A" w14:textId="77777777" w:rsidR="00887030" w:rsidRPr="00BF1273" w:rsidRDefault="00CA07A6" w:rsidP="00B652D4">
      <w:pPr>
        <w:pStyle w:val="Corps"/>
        <w:numPr>
          <w:ilvl w:val="0"/>
          <w:numId w:val="2"/>
        </w:numPr>
        <w:pBdr>
          <w:left w:val="nil"/>
        </w:pBdr>
      </w:pPr>
      <w:r>
        <w:t xml:space="preserve">Tout échange de données doit passer par un canal  </w:t>
      </w:r>
      <w:proofErr w:type="gramStart"/>
      <w:r>
        <w:t>sécurisé ,</w:t>
      </w:r>
      <w:proofErr w:type="gramEnd"/>
      <w:r>
        <w:t xml:space="preserve"> impliquant en premier lieu de n’utiliser  entre professionnels que  des messageries sécurisées. </w:t>
      </w:r>
    </w:p>
    <w:p w14:paraId="1E77DAAE" w14:textId="77777777" w:rsidR="00887030" w:rsidRDefault="00B61E4D">
      <w:pPr>
        <w:pStyle w:val="Corps"/>
        <w:numPr>
          <w:ilvl w:val="1"/>
          <w:numId w:val="2"/>
        </w:numPr>
      </w:pPr>
      <w:r>
        <w:t>s</w:t>
      </w:r>
      <w:r w:rsidR="00CA07A6">
        <w:t>oit une messagerie sécurisée indépendante du logiciel</w:t>
      </w:r>
    </w:p>
    <w:p w14:paraId="770D0AAB" w14:textId="77777777" w:rsidR="00887030" w:rsidRDefault="00B61E4D">
      <w:pPr>
        <w:pStyle w:val="Corps"/>
        <w:numPr>
          <w:ilvl w:val="1"/>
          <w:numId w:val="2"/>
        </w:numPr>
      </w:pPr>
      <w:r>
        <w:t>s</w:t>
      </w:r>
      <w:r w:rsidR="00CA07A6">
        <w:t>oit la messagerie des logiciels agréés «  hébergeurs de données de santé « </w:t>
      </w:r>
      <w:r w:rsidR="007B52DF">
        <w:t>utilisant la carte CPS</w:t>
      </w:r>
    </w:p>
    <w:p w14:paraId="4A5F2A92" w14:textId="77777777" w:rsidR="00BF1273" w:rsidRPr="00BF1273" w:rsidRDefault="00BF1273" w:rsidP="00BF1273">
      <w:pPr>
        <w:pStyle w:val="Corps"/>
        <w:numPr>
          <w:ilvl w:val="0"/>
          <w:numId w:val="2"/>
        </w:numPr>
      </w:pPr>
      <w:r>
        <w:t xml:space="preserve">La loi française impose depuis juillet 2016 aux établissements et professionnels de santé de ne pouvoir adresser les courriers de liaison et compte rendus d’hospitalisation que par messagerie sécurisée, mais si la création de boîtes mail est en nette augmentation, les usages progressent peu et bien des établissements ne sont toujours pas en </w:t>
      </w:r>
      <w:proofErr w:type="gramStart"/>
      <w:r>
        <w:t>conformité .</w:t>
      </w:r>
      <w:proofErr w:type="gramEnd"/>
      <w:r>
        <w:t xml:space="preserve"> La loi européenne accroît la pression exercée sur les </w:t>
      </w:r>
      <w:proofErr w:type="gramStart"/>
      <w:r>
        <w:t>professionnels .(</w:t>
      </w:r>
      <w:proofErr w:type="gramEnd"/>
      <w:r>
        <w:t xml:space="preserve"> </w:t>
      </w:r>
      <w:r w:rsidRPr="00BF1273">
        <w:rPr>
          <w:color w:val="0079BF" w:themeColor="accent1" w:themeShade="BF"/>
          <w:u w:val="single"/>
        </w:rPr>
        <w:t xml:space="preserve">texte de </w:t>
      </w:r>
      <w:hyperlink r:id="rId10" w:history="1">
        <w:r w:rsidRPr="00BF1273">
          <w:rPr>
            <w:rStyle w:val="Lienhypertexte"/>
            <w:color w:val="0079BF" w:themeColor="accent1" w:themeShade="BF"/>
          </w:rPr>
          <w:t>loi à propos des courriers de liaison</w:t>
        </w:r>
      </w:hyperlink>
      <w:r w:rsidRPr="007B52DF">
        <w:rPr>
          <w:color w:val="0079BF" w:themeColor="accent1" w:themeShade="BF"/>
        </w:rPr>
        <w:t xml:space="preserve"> )</w:t>
      </w:r>
    </w:p>
    <w:p w14:paraId="3FF104F8" w14:textId="77777777" w:rsidR="00BF1273" w:rsidRDefault="0069696D" w:rsidP="00BF1273">
      <w:pPr>
        <w:pStyle w:val="Corps"/>
        <w:numPr>
          <w:ilvl w:val="0"/>
          <w:numId w:val="2"/>
        </w:numPr>
      </w:pPr>
      <w:r>
        <w:t>Le médecin doit informer ses patients des procédures de sécurité qu’il a mises en place</w:t>
      </w:r>
      <w:r w:rsidR="00B61E4D">
        <w:t xml:space="preserve"> par une affiche en salle d’attente</w:t>
      </w:r>
    </w:p>
    <w:p w14:paraId="1C588772" w14:textId="77777777" w:rsidR="00887030" w:rsidRDefault="00CA07A6">
      <w:pPr>
        <w:pStyle w:val="Corps"/>
        <w:numPr>
          <w:ilvl w:val="0"/>
          <w:numId w:val="2"/>
        </w:numPr>
      </w:pPr>
      <w:r>
        <w:t xml:space="preserve">Les données doivent être archivées et conservées pendant 20 </w:t>
      </w:r>
      <w:proofErr w:type="gramStart"/>
      <w:r>
        <w:t>ans .</w:t>
      </w:r>
      <w:proofErr w:type="gramEnd"/>
    </w:p>
    <w:p w14:paraId="0B50E2BB" w14:textId="77777777" w:rsidR="00933975" w:rsidRDefault="00933975">
      <w:pPr>
        <w:pStyle w:val="Corps"/>
        <w:numPr>
          <w:ilvl w:val="0"/>
          <w:numId w:val="2"/>
        </w:numPr>
      </w:pPr>
      <w:r>
        <w:t>Toute violation ou vol de données doit être signalé à l’autorité compétente.</w:t>
      </w:r>
    </w:p>
    <w:tbl>
      <w:tblPr>
        <w:tblStyle w:val="PlainTable3"/>
        <w:tblW w:w="0" w:type="auto"/>
        <w:tblLook w:val="04A0" w:firstRow="1" w:lastRow="0" w:firstColumn="1" w:lastColumn="0" w:noHBand="0" w:noVBand="1"/>
      </w:tblPr>
      <w:tblGrid>
        <w:gridCol w:w="3209"/>
        <w:gridCol w:w="3209"/>
        <w:gridCol w:w="3210"/>
      </w:tblGrid>
      <w:tr w:rsidR="0084795E" w:rsidRPr="003E06A2" w14:paraId="51789AE6" w14:textId="77777777" w:rsidTr="00B652D4">
        <w:trPr>
          <w:cnfStyle w:val="100000000000" w:firstRow="1" w:lastRow="0" w:firstColumn="0" w:lastColumn="0" w:oddVBand="0" w:evenVBand="0" w:oddHBand="0" w:evenHBand="0" w:firstRowFirstColumn="0" w:firstRowLastColumn="0" w:lastRowFirstColumn="0" w:lastRowLastColumn="0"/>
          <w:trHeight w:val="109"/>
        </w:trPr>
        <w:tc>
          <w:tcPr>
            <w:cnfStyle w:val="001000000100" w:firstRow="0" w:lastRow="0" w:firstColumn="1" w:lastColumn="0" w:oddVBand="0" w:evenVBand="0" w:oddHBand="0" w:evenHBand="0" w:firstRowFirstColumn="1" w:firstRowLastColumn="0" w:lastRowFirstColumn="0" w:lastRowLastColumn="0"/>
            <w:tcW w:w="3209" w:type="dxa"/>
          </w:tcPr>
          <w:p w14:paraId="3916C9E5"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rPr>
                <w:caps w:val="0"/>
              </w:rPr>
            </w:pPr>
            <w:r w:rsidRPr="003E06A2">
              <w:rPr>
                <w:caps w:val="0"/>
              </w:rPr>
              <w:lastRenderedPageBreak/>
              <w:t>Contraintes</w:t>
            </w:r>
          </w:p>
        </w:tc>
        <w:tc>
          <w:tcPr>
            <w:tcW w:w="3209" w:type="dxa"/>
          </w:tcPr>
          <w:p w14:paraId="3A4C253E" w14:textId="77777777" w:rsidR="0084795E" w:rsidRPr="003E06A2" w:rsidRDefault="003E06A2">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caps w:val="0"/>
              </w:rPr>
            </w:pPr>
            <w:r w:rsidRPr="003E06A2">
              <w:rPr>
                <w:caps w:val="0"/>
              </w:rPr>
              <w:t>Dossiers numériques</w:t>
            </w:r>
          </w:p>
        </w:tc>
        <w:tc>
          <w:tcPr>
            <w:tcW w:w="3210" w:type="dxa"/>
          </w:tcPr>
          <w:p w14:paraId="163D8734" w14:textId="77777777" w:rsidR="0084795E" w:rsidRPr="003E06A2" w:rsidRDefault="003E06A2">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caps w:val="0"/>
              </w:rPr>
            </w:pPr>
            <w:r w:rsidRPr="003E06A2">
              <w:rPr>
                <w:caps w:val="0"/>
              </w:rPr>
              <w:t>D</w:t>
            </w:r>
            <w:r w:rsidR="0084795E" w:rsidRPr="003E06A2">
              <w:rPr>
                <w:caps w:val="0"/>
              </w:rPr>
              <w:t>ossiers papier</w:t>
            </w:r>
          </w:p>
        </w:tc>
      </w:tr>
      <w:tr w:rsidR="0084795E" w:rsidRPr="003E06A2" w14:paraId="5CC622C9" w14:textId="77777777" w:rsidTr="00847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bottom w:val="single" w:sz="4" w:space="0" w:color="000000" w:themeColor="text1"/>
            </w:tcBorders>
          </w:tcPr>
          <w:p w14:paraId="1ADB4E90"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rPr>
                <w:b w:val="0"/>
                <w:caps w:val="0"/>
                <w:color w:val="auto"/>
              </w:rPr>
            </w:pPr>
            <w:r w:rsidRPr="003E06A2">
              <w:rPr>
                <w:b w:val="0"/>
                <w:caps w:val="0"/>
                <w:color w:val="auto"/>
              </w:rPr>
              <w:t>Conservation des données</w:t>
            </w:r>
          </w:p>
        </w:tc>
        <w:tc>
          <w:tcPr>
            <w:tcW w:w="3209" w:type="dxa"/>
          </w:tcPr>
          <w:p w14:paraId="6A619817"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color w:val="auto"/>
              </w:rPr>
            </w:pPr>
            <w:r w:rsidRPr="003E06A2">
              <w:rPr>
                <w:color w:val="auto"/>
              </w:rPr>
              <w:t>20 ans</w:t>
            </w:r>
          </w:p>
        </w:tc>
        <w:tc>
          <w:tcPr>
            <w:tcW w:w="3210" w:type="dxa"/>
          </w:tcPr>
          <w:p w14:paraId="3D14A9E2"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color w:val="auto"/>
              </w:rPr>
            </w:pPr>
            <w:r w:rsidRPr="003E06A2">
              <w:rPr>
                <w:color w:val="auto"/>
              </w:rPr>
              <w:t>20 ans</w:t>
            </w:r>
          </w:p>
        </w:tc>
      </w:tr>
      <w:tr w:rsidR="0084795E" w:rsidRPr="003E06A2" w14:paraId="29FC1ED2" w14:textId="77777777" w:rsidTr="0084795E">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000000" w:themeColor="text1"/>
            </w:tcBorders>
          </w:tcPr>
          <w:p w14:paraId="38315123"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rPr>
                <w:b w:val="0"/>
                <w:caps w:val="0"/>
                <w:color w:val="auto"/>
              </w:rPr>
            </w:pPr>
            <w:r w:rsidRPr="003E06A2">
              <w:rPr>
                <w:b w:val="0"/>
                <w:caps w:val="0"/>
                <w:color w:val="auto"/>
              </w:rPr>
              <w:t>Archivage et stockage</w:t>
            </w:r>
          </w:p>
        </w:tc>
        <w:tc>
          <w:tcPr>
            <w:tcW w:w="3209" w:type="dxa"/>
          </w:tcPr>
          <w:p w14:paraId="57027691" w14:textId="77777777" w:rsidR="0084795E" w:rsidRPr="003E06A2" w:rsidRDefault="0084795E" w:rsidP="0084795E">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Mot de passe protégé, changé 2/an</w:t>
            </w:r>
          </w:p>
          <w:p w14:paraId="148B8420" w14:textId="77777777" w:rsidR="0084795E" w:rsidRPr="003E06A2" w:rsidRDefault="0084795E" w:rsidP="0084795E">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Clavier verrouillé</w:t>
            </w:r>
          </w:p>
        </w:tc>
        <w:tc>
          <w:tcPr>
            <w:tcW w:w="3210" w:type="dxa"/>
          </w:tcPr>
          <w:p w14:paraId="4758853C"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Armoire fermée à clé</w:t>
            </w:r>
          </w:p>
        </w:tc>
      </w:tr>
      <w:tr w:rsidR="0084795E" w:rsidRPr="003E06A2" w14:paraId="251CDB70" w14:textId="77777777" w:rsidTr="00847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83737D4"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rPr>
                <w:b w:val="0"/>
                <w:caps w:val="0"/>
                <w:color w:val="auto"/>
              </w:rPr>
            </w:pPr>
            <w:r w:rsidRPr="003E06A2">
              <w:rPr>
                <w:b w:val="0"/>
                <w:caps w:val="0"/>
                <w:color w:val="auto"/>
              </w:rPr>
              <w:t>Sauvegarde</w:t>
            </w:r>
          </w:p>
        </w:tc>
        <w:tc>
          <w:tcPr>
            <w:tcW w:w="3209" w:type="dxa"/>
          </w:tcPr>
          <w:p w14:paraId="09659C2E"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color w:val="auto"/>
              </w:rPr>
            </w:pPr>
            <w:r w:rsidRPr="003E06A2">
              <w:rPr>
                <w:color w:val="auto"/>
              </w:rPr>
              <w:t>Solution externe, cryptée</w:t>
            </w:r>
          </w:p>
        </w:tc>
        <w:tc>
          <w:tcPr>
            <w:tcW w:w="3210" w:type="dxa"/>
          </w:tcPr>
          <w:p w14:paraId="1A255439"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color w:val="auto"/>
              </w:rPr>
            </w:pPr>
            <w:r w:rsidRPr="003E06A2">
              <w:rPr>
                <w:color w:val="auto"/>
              </w:rPr>
              <w:t>-</w:t>
            </w:r>
          </w:p>
        </w:tc>
      </w:tr>
      <w:tr w:rsidR="0084795E" w:rsidRPr="003E06A2" w14:paraId="062422F7" w14:textId="77777777" w:rsidTr="0084795E">
        <w:tc>
          <w:tcPr>
            <w:cnfStyle w:val="001000000000" w:firstRow="0" w:lastRow="0" w:firstColumn="1" w:lastColumn="0" w:oddVBand="0" w:evenVBand="0" w:oddHBand="0" w:evenHBand="0" w:firstRowFirstColumn="0" w:firstRowLastColumn="0" w:lastRowFirstColumn="0" w:lastRowLastColumn="0"/>
            <w:tcW w:w="3209" w:type="dxa"/>
          </w:tcPr>
          <w:p w14:paraId="5F1B0B29"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rPr>
                <w:b w:val="0"/>
                <w:caps w:val="0"/>
                <w:color w:val="auto"/>
              </w:rPr>
            </w:pPr>
            <w:r w:rsidRPr="003E06A2">
              <w:rPr>
                <w:b w:val="0"/>
                <w:caps w:val="0"/>
                <w:color w:val="auto"/>
              </w:rPr>
              <w:t>Echanges inter pro</w:t>
            </w:r>
          </w:p>
        </w:tc>
        <w:tc>
          <w:tcPr>
            <w:tcW w:w="3209" w:type="dxa"/>
          </w:tcPr>
          <w:p w14:paraId="2B881BEE"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 xml:space="preserve">- Courrier remis au patient </w:t>
            </w:r>
          </w:p>
          <w:p w14:paraId="1FA452DA"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 Messagerie sécurisée</w:t>
            </w:r>
          </w:p>
        </w:tc>
        <w:tc>
          <w:tcPr>
            <w:tcW w:w="3210" w:type="dxa"/>
          </w:tcPr>
          <w:p w14:paraId="7E0B436B" w14:textId="77777777" w:rsidR="0084795E" w:rsidRPr="003E06A2" w:rsidRDefault="0084795E" w:rsidP="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 Courrier remis au patient</w:t>
            </w:r>
          </w:p>
          <w:p w14:paraId="112651FD" w14:textId="77777777" w:rsidR="0084795E" w:rsidRPr="003E06A2" w:rsidRDefault="0084795E" w:rsidP="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 Messagerie sécurisée</w:t>
            </w:r>
          </w:p>
        </w:tc>
      </w:tr>
      <w:tr w:rsidR="0084795E" w:rsidRPr="003E06A2" w14:paraId="67E28F8D" w14:textId="77777777" w:rsidTr="00B652D4">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209" w:type="dxa"/>
          </w:tcPr>
          <w:p w14:paraId="335E1F38"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rPr>
                <w:b w:val="0"/>
                <w:caps w:val="0"/>
                <w:color w:val="auto"/>
              </w:rPr>
            </w:pPr>
            <w:r w:rsidRPr="003E06A2">
              <w:rPr>
                <w:b w:val="0"/>
                <w:caps w:val="0"/>
                <w:color w:val="auto"/>
              </w:rPr>
              <w:t>Assistant</w:t>
            </w:r>
            <w:r w:rsidR="006652EF">
              <w:rPr>
                <w:b w:val="0"/>
                <w:caps w:val="0"/>
                <w:color w:val="auto"/>
              </w:rPr>
              <w:t>, personnel amené à traiter les données</w:t>
            </w:r>
          </w:p>
        </w:tc>
        <w:tc>
          <w:tcPr>
            <w:tcW w:w="3209" w:type="dxa"/>
          </w:tcPr>
          <w:p w14:paraId="3CE077BE"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color w:val="auto"/>
              </w:rPr>
            </w:pPr>
            <w:r w:rsidRPr="003E06A2">
              <w:rPr>
                <w:color w:val="auto"/>
              </w:rPr>
              <w:t>Clause de confidentialité contractuelle</w:t>
            </w:r>
          </w:p>
        </w:tc>
        <w:tc>
          <w:tcPr>
            <w:tcW w:w="3210" w:type="dxa"/>
          </w:tcPr>
          <w:p w14:paraId="0A5E8A0B" w14:textId="77777777" w:rsidR="0084795E" w:rsidRPr="003E06A2" w:rsidRDefault="0084795E">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color w:val="auto"/>
              </w:rPr>
            </w:pPr>
            <w:r w:rsidRPr="003E06A2">
              <w:rPr>
                <w:color w:val="auto"/>
              </w:rPr>
              <w:t>Clause de confidentialité contractuelle</w:t>
            </w:r>
          </w:p>
        </w:tc>
      </w:tr>
      <w:tr w:rsidR="0084795E" w:rsidRPr="00933975" w14:paraId="03ED2240" w14:textId="77777777" w:rsidTr="0084795E">
        <w:tc>
          <w:tcPr>
            <w:cnfStyle w:val="001000000000" w:firstRow="0" w:lastRow="0" w:firstColumn="1" w:lastColumn="0" w:oddVBand="0" w:evenVBand="0" w:oddHBand="0" w:evenHBand="0" w:firstRowFirstColumn="0" w:firstRowLastColumn="0" w:lastRowFirstColumn="0" w:lastRowLastColumn="0"/>
            <w:tcW w:w="3209" w:type="dxa"/>
          </w:tcPr>
          <w:p w14:paraId="79A9FFF7" w14:textId="77777777" w:rsidR="0084795E" w:rsidRPr="003E06A2" w:rsidRDefault="003E06A2">
            <w:pPr>
              <w:pStyle w:val="Corps"/>
              <w:pBdr>
                <w:top w:val="none" w:sz="0" w:space="0" w:color="auto"/>
                <w:left w:val="none" w:sz="0" w:space="0" w:color="auto"/>
                <w:bottom w:val="none" w:sz="0" w:space="0" w:color="auto"/>
                <w:right w:val="none" w:sz="0" w:space="0" w:color="auto"/>
                <w:between w:val="none" w:sz="0" w:space="0" w:color="auto"/>
                <w:bar w:val="none" w:sz="0" w:color="auto"/>
              </w:pBdr>
              <w:rPr>
                <w:b w:val="0"/>
                <w:caps w:val="0"/>
                <w:color w:val="auto"/>
              </w:rPr>
            </w:pPr>
            <w:r w:rsidRPr="003E06A2">
              <w:rPr>
                <w:b w:val="0"/>
                <w:caps w:val="0"/>
                <w:color w:val="auto"/>
              </w:rPr>
              <w:t>Information des patients</w:t>
            </w:r>
          </w:p>
        </w:tc>
        <w:tc>
          <w:tcPr>
            <w:tcW w:w="3209" w:type="dxa"/>
          </w:tcPr>
          <w:p w14:paraId="09CDAE94" w14:textId="77777777" w:rsidR="0084795E" w:rsidRPr="003E06A2" w:rsidRDefault="003E06A2">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Affiche dans la salle d’attente</w:t>
            </w:r>
          </w:p>
        </w:tc>
        <w:tc>
          <w:tcPr>
            <w:tcW w:w="3210" w:type="dxa"/>
          </w:tcPr>
          <w:p w14:paraId="32AF2362" w14:textId="77777777" w:rsidR="0084795E" w:rsidRPr="003E06A2" w:rsidRDefault="003E06A2">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sidRPr="003E06A2">
              <w:rPr>
                <w:color w:val="auto"/>
              </w:rPr>
              <w:t>Affiche dans la salle d’attente</w:t>
            </w:r>
          </w:p>
        </w:tc>
      </w:tr>
      <w:tr w:rsidR="0084795E" w:rsidRPr="00933975" w14:paraId="3960583F" w14:textId="77777777" w:rsidTr="00665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B4794D7" w14:textId="77777777" w:rsidR="0084795E" w:rsidRPr="00933975" w:rsidRDefault="0084795E" w:rsidP="003E06A2">
            <w:pPr>
              <w:rPr>
                <w:lang w:val="fr-FR"/>
              </w:rPr>
            </w:pPr>
          </w:p>
        </w:tc>
        <w:tc>
          <w:tcPr>
            <w:tcW w:w="3209" w:type="dxa"/>
          </w:tcPr>
          <w:p w14:paraId="4425E0A9" w14:textId="77777777" w:rsidR="0084795E" w:rsidRPr="00933975" w:rsidRDefault="0084795E" w:rsidP="003E06A2">
            <w:pPr>
              <w:cnfStyle w:val="000000100000" w:firstRow="0" w:lastRow="0" w:firstColumn="0" w:lastColumn="0" w:oddVBand="0" w:evenVBand="0" w:oddHBand="1" w:evenHBand="0" w:firstRowFirstColumn="0" w:firstRowLastColumn="0" w:lastRowFirstColumn="0" w:lastRowLastColumn="0"/>
              <w:rPr>
                <w:lang w:val="fr-FR"/>
              </w:rPr>
            </w:pPr>
          </w:p>
        </w:tc>
        <w:tc>
          <w:tcPr>
            <w:tcW w:w="3210" w:type="dxa"/>
          </w:tcPr>
          <w:p w14:paraId="7C288417" w14:textId="77777777" w:rsidR="0084795E" w:rsidRPr="00933975" w:rsidRDefault="0084795E" w:rsidP="003E06A2">
            <w:pPr>
              <w:cnfStyle w:val="000000100000" w:firstRow="0" w:lastRow="0" w:firstColumn="0" w:lastColumn="0" w:oddVBand="0" w:evenVBand="0" w:oddHBand="1" w:evenHBand="0" w:firstRowFirstColumn="0" w:firstRowLastColumn="0" w:lastRowFirstColumn="0" w:lastRowLastColumn="0"/>
              <w:rPr>
                <w:lang w:val="fr-FR"/>
              </w:rPr>
            </w:pPr>
          </w:p>
        </w:tc>
      </w:tr>
      <w:tr w:rsidR="003E06A2" w:rsidRPr="003E06A2" w14:paraId="50AAE2F7" w14:textId="77777777" w:rsidTr="0084795E">
        <w:tc>
          <w:tcPr>
            <w:cnfStyle w:val="001000000000" w:firstRow="0" w:lastRow="0" w:firstColumn="1" w:lastColumn="0" w:oddVBand="0" w:evenVBand="0" w:oddHBand="0" w:evenHBand="0" w:firstRowFirstColumn="0" w:firstRowLastColumn="0" w:lastRowFirstColumn="0" w:lastRowLastColumn="0"/>
            <w:tcW w:w="3209" w:type="dxa"/>
          </w:tcPr>
          <w:p w14:paraId="40264653" w14:textId="77777777" w:rsidR="003E06A2" w:rsidRPr="003E06A2" w:rsidRDefault="003E06A2">
            <w:pPr>
              <w:pStyle w:val="Corps"/>
              <w:pBdr>
                <w:top w:val="none" w:sz="0" w:space="0" w:color="auto"/>
                <w:left w:val="none" w:sz="0" w:space="0" w:color="auto"/>
                <w:bottom w:val="none" w:sz="0" w:space="0" w:color="auto"/>
                <w:right w:val="none" w:sz="0" w:space="0" w:color="auto"/>
                <w:between w:val="none" w:sz="0" w:space="0" w:color="auto"/>
                <w:bar w:val="none" w:sz="0" w:color="auto"/>
              </w:pBdr>
              <w:rPr>
                <w:b w:val="0"/>
                <w:caps w:val="0"/>
                <w:color w:val="auto"/>
              </w:rPr>
            </w:pPr>
            <w:r>
              <w:rPr>
                <w:b w:val="0"/>
                <w:caps w:val="0"/>
                <w:color w:val="auto"/>
              </w:rPr>
              <w:t>Non respect</w:t>
            </w:r>
          </w:p>
        </w:tc>
        <w:tc>
          <w:tcPr>
            <w:tcW w:w="3209" w:type="dxa"/>
          </w:tcPr>
          <w:p w14:paraId="1764A50A" w14:textId="77777777" w:rsidR="003E06A2" w:rsidRPr="003E06A2" w:rsidRDefault="003E06A2">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Pr>
                <w:color w:val="auto"/>
              </w:rPr>
              <w:t>Jusqu’à 4% du CA</w:t>
            </w:r>
          </w:p>
        </w:tc>
        <w:tc>
          <w:tcPr>
            <w:tcW w:w="3210" w:type="dxa"/>
          </w:tcPr>
          <w:p w14:paraId="0B1C1DAB" w14:textId="77777777" w:rsidR="003E06A2" w:rsidRPr="003E06A2" w:rsidRDefault="003E06A2">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color w:val="auto"/>
              </w:rPr>
            </w:pPr>
            <w:r>
              <w:rPr>
                <w:color w:val="auto"/>
              </w:rPr>
              <w:t>Jusqu’à 4% du CA</w:t>
            </w:r>
          </w:p>
        </w:tc>
      </w:tr>
    </w:tbl>
    <w:p w14:paraId="46D20043" w14:textId="77777777" w:rsidR="00887030" w:rsidRDefault="00887030">
      <w:pPr>
        <w:pStyle w:val="Corps"/>
      </w:pPr>
    </w:p>
    <w:p w14:paraId="0160DEB7" w14:textId="77777777" w:rsidR="006652EF" w:rsidRDefault="006652EF" w:rsidP="006652EF">
      <w:pPr>
        <w:pStyle w:val="Corps"/>
        <w:rPr>
          <w:b/>
        </w:rPr>
      </w:pPr>
    </w:p>
    <w:p w14:paraId="7C4CB3D2" w14:textId="77777777" w:rsidR="006652EF" w:rsidRDefault="006652EF" w:rsidP="006652EF">
      <w:pPr>
        <w:pStyle w:val="Corps"/>
      </w:pPr>
      <w:r w:rsidRPr="006652EF">
        <w:rPr>
          <w:b/>
        </w:rPr>
        <w:t>Ce qui n’est pas ou plus nécessaire</w:t>
      </w:r>
      <w:r>
        <w:t> :</w:t>
      </w:r>
    </w:p>
    <w:p w14:paraId="259B78FA" w14:textId="77777777" w:rsidR="006652EF" w:rsidRDefault="006652EF" w:rsidP="006652EF">
      <w:pPr>
        <w:pStyle w:val="Corps"/>
        <w:numPr>
          <w:ilvl w:val="0"/>
          <w:numId w:val="2"/>
        </w:numPr>
      </w:pPr>
      <w:r>
        <w:t>Pas de recueil systématique du consentement du patient à ch</w:t>
      </w:r>
      <w:r w:rsidR="00933975">
        <w:t>a</w:t>
      </w:r>
      <w:r>
        <w:t>que collecte de ses données, le médecin étant assermenté.</w:t>
      </w:r>
    </w:p>
    <w:p w14:paraId="587CCD3C" w14:textId="77777777" w:rsidR="006652EF" w:rsidRDefault="006652EF" w:rsidP="006652EF">
      <w:pPr>
        <w:pStyle w:val="Corps"/>
        <w:numPr>
          <w:ilvl w:val="0"/>
          <w:numId w:val="2"/>
        </w:numPr>
      </w:pPr>
      <w:r>
        <w:t xml:space="preserve">Plus de déclaration des fichiers informatique </w:t>
      </w:r>
      <w:proofErr w:type="spellStart"/>
      <w:r>
        <w:t>auprés</w:t>
      </w:r>
      <w:proofErr w:type="spellEnd"/>
      <w:r>
        <w:t xml:space="preserve"> de la </w:t>
      </w:r>
      <w:proofErr w:type="gramStart"/>
      <w:r>
        <w:t>CNIL(</w:t>
      </w:r>
      <w:proofErr w:type="gramEnd"/>
      <w:r>
        <w:t xml:space="preserve"> jusque là obligatoire avant la mise en service du logiciel métier, et à tout changement )</w:t>
      </w:r>
    </w:p>
    <w:p w14:paraId="46DA5C66" w14:textId="77777777" w:rsidR="00487B92" w:rsidRDefault="00487B92" w:rsidP="00487B92">
      <w:pPr>
        <w:pStyle w:val="Corps"/>
      </w:pPr>
    </w:p>
    <w:p w14:paraId="42179A95" w14:textId="77777777" w:rsidR="006652EF" w:rsidRDefault="006652EF" w:rsidP="00487B92">
      <w:pPr>
        <w:pStyle w:val="Corps"/>
      </w:pPr>
    </w:p>
    <w:p w14:paraId="1E9224B1" w14:textId="77777777" w:rsidR="006652EF" w:rsidRDefault="006652EF" w:rsidP="00CA07A6">
      <w:pPr>
        <w:pStyle w:val="Corps"/>
        <w:pBdr>
          <w:top w:val="single" w:sz="4" w:space="1" w:color="000000"/>
          <w:left w:val="single" w:sz="4" w:space="1" w:color="000000"/>
          <w:bottom w:val="single" w:sz="4" w:space="1" w:color="000000"/>
          <w:right w:val="single" w:sz="4" w:space="1" w:color="000000"/>
        </w:pBdr>
      </w:pPr>
      <w:r>
        <w:t xml:space="preserve">Cette Loi n’apporte </w:t>
      </w:r>
      <w:r w:rsidR="00CA07A6">
        <w:t>en réalité</w:t>
      </w:r>
      <w:r>
        <w:t xml:space="preserve"> pas vraiment d’éléments nouveaux</w:t>
      </w:r>
      <w:r w:rsidR="00CA07A6">
        <w:t xml:space="preserve"> pour la gestion quotidienne des cabinets</w:t>
      </w:r>
      <w:r>
        <w:t xml:space="preserve">, </w:t>
      </w:r>
      <w:r w:rsidR="00CA07A6">
        <w:t xml:space="preserve">sinon la hauteur des sanctions financières prévues, </w:t>
      </w:r>
      <w:r>
        <w:t>mais permet un focus sur l’inadéquation des lois déjà en vigueur sur le territoire et les usages .</w:t>
      </w:r>
    </w:p>
    <w:p w14:paraId="6796569E" w14:textId="77777777" w:rsidR="006652EF" w:rsidRDefault="006652EF" w:rsidP="00CA07A6">
      <w:pPr>
        <w:pStyle w:val="Corps"/>
        <w:pBdr>
          <w:top w:val="single" w:sz="4" w:space="1" w:color="000000"/>
          <w:left w:val="single" w:sz="4" w:space="1" w:color="000000"/>
          <w:bottom w:val="single" w:sz="4" w:space="1" w:color="000000"/>
          <w:right w:val="single" w:sz="4" w:space="1" w:color="000000"/>
        </w:pBdr>
      </w:pPr>
    </w:p>
    <w:p w14:paraId="0D85CDB5" w14:textId="77777777" w:rsidR="006652EF" w:rsidRDefault="006652EF" w:rsidP="00CA07A6">
      <w:pPr>
        <w:pStyle w:val="Corps"/>
        <w:pBdr>
          <w:top w:val="single" w:sz="4" w:space="1" w:color="000000"/>
          <w:left w:val="single" w:sz="4" w:space="1" w:color="000000"/>
          <w:bottom w:val="single" w:sz="4" w:space="1" w:color="000000"/>
          <w:right w:val="single" w:sz="4" w:space="1" w:color="000000"/>
        </w:pBdr>
      </w:pPr>
      <w:r>
        <w:t xml:space="preserve">Répétons </w:t>
      </w:r>
      <w:r w:rsidR="00CA07A6">
        <w:t>donc encore l’impérieuse</w:t>
      </w:r>
      <w:r>
        <w:t xml:space="preserve"> nécessité de sécur</w:t>
      </w:r>
      <w:r w:rsidR="00CA07A6">
        <w:t>i</w:t>
      </w:r>
      <w:r>
        <w:t>ser l’</w:t>
      </w:r>
      <w:proofErr w:type="spellStart"/>
      <w:r>
        <w:t>accé</w:t>
      </w:r>
      <w:r w:rsidR="00CA07A6">
        <w:t>s</w:t>
      </w:r>
      <w:proofErr w:type="spellEnd"/>
      <w:r>
        <w:t xml:space="preserve"> aux dossiers des patients, </w:t>
      </w:r>
      <w:r w:rsidR="00933975">
        <w:t xml:space="preserve">d’en </w:t>
      </w:r>
      <w:proofErr w:type="spellStart"/>
      <w:r w:rsidR="00933975">
        <w:t>réaliser</w:t>
      </w:r>
      <w:r w:rsidR="00CA07A6">
        <w:t>r</w:t>
      </w:r>
      <w:proofErr w:type="spellEnd"/>
      <w:r w:rsidR="00CA07A6">
        <w:t xml:space="preserve"> une</w:t>
      </w:r>
      <w:r>
        <w:t xml:space="preserve"> sauvegarde et </w:t>
      </w:r>
      <w:r w:rsidR="00933975">
        <w:t>de n’utiliser</w:t>
      </w:r>
      <w:r w:rsidR="00CA07A6">
        <w:t>,</w:t>
      </w:r>
      <w:r w:rsidR="00933975">
        <w:t xml:space="preserve"> </w:t>
      </w:r>
      <w:r w:rsidR="00CA07A6">
        <w:t>dans le cadre professionne</w:t>
      </w:r>
      <w:r w:rsidR="00933975">
        <w:t>l, qu’une messagerie sécurisée pour échanger des données sensibles.</w:t>
      </w:r>
    </w:p>
    <w:p w14:paraId="61315837" w14:textId="77777777" w:rsidR="00487B92" w:rsidRDefault="00487B92" w:rsidP="00487B92">
      <w:pPr>
        <w:pStyle w:val="Corps"/>
      </w:pPr>
      <w:bookmarkStart w:id="0" w:name="_GoBack"/>
      <w:bookmarkEnd w:id="0"/>
    </w:p>
    <w:sectPr w:rsidR="00487B92" w:rsidSect="00B652D4">
      <w:headerReference w:type="default" r:id="rId11"/>
      <w:pgSz w:w="11906" w:h="16838"/>
      <w:pgMar w:top="851"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EACA9" w14:textId="77777777" w:rsidR="00D8066F" w:rsidRDefault="00D8066F">
      <w:r>
        <w:separator/>
      </w:r>
    </w:p>
  </w:endnote>
  <w:endnote w:type="continuationSeparator" w:id="0">
    <w:p w14:paraId="03CDB6F2" w14:textId="77777777" w:rsidR="00D8066F" w:rsidRDefault="00D8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306A" w14:textId="77777777" w:rsidR="00D8066F" w:rsidRDefault="00D8066F">
      <w:r>
        <w:separator/>
      </w:r>
    </w:p>
  </w:footnote>
  <w:footnote w:type="continuationSeparator" w:id="0">
    <w:p w14:paraId="6804F131" w14:textId="77777777" w:rsidR="00D8066F" w:rsidRDefault="00D80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C618C" w14:textId="77777777" w:rsidR="00887030" w:rsidRDefault="00887030"/>
  <w:p w14:paraId="75573104" w14:textId="77777777" w:rsidR="003E06A2" w:rsidRDefault="003E06A2"/>
  <w:p w14:paraId="2D005BA4" w14:textId="77777777" w:rsidR="003E06A2" w:rsidRDefault="003E06A2"/>
  <w:p w14:paraId="01C87FB8" w14:textId="77777777" w:rsidR="003E06A2" w:rsidRDefault="003E06A2"/>
  <w:p w14:paraId="03D860DB" w14:textId="77777777" w:rsidR="003E06A2" w:rsidRDefault="003E06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D7E"/>
    <w:multiLevelType w:val="hybridMultilevel"/>
    <w:tmpl w:val="04D473DE"/>
    <w:styleLink w:val="Tiret"/>
    <w:lvl w:ilvl="0" w:tplc="707EFA3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172A9F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6CCB9B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CFA567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3FECD8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314302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A14995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D3A16A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6AE76D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15730B07"/>
    <w:multiLevelType w:val="hybridMultilevel"/>
    <w:tmpl w:val="04D473DE"/>
    <w:numStyleLink w:val="Ti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30"/>
    <w:rsid w:val="003E06A2"/>
    <w:rsid w:val="00487B92"/>
    <w:rsid w:val="006652EF"/>
    <w:rsid w:val="0069696D"/>
    <w:rsid w:val="007B52DF"/>
    <w:rsid w:val="0084795E"/>
    <w:rsid w:val="00887030"/>
    <w:rsid w:val="00933975"/>
    <w:rsid w:val="00AB3547"/>
    <w:rsid w:val="00AD6564"/>
    <w:rsid w:val="00B61E4D"/>
    <w:rsid w:val="00B652D4"/>
    <w:rsid w:val="00BF1273"/>
    <w:rsid w:val="00CA07A6"/>
    <w:rsid w:val="00D806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D4B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numbering" w:customStyle="1" w:styleId="Tiret">
    <w:name w:val="Tiret"/>
    <w:pPr>
      <w:numPr>
        <w:numId w:val="1"/>
      </w:numPr>
    </w:pPr>
  </w:style>
  <w:style w:type="character" w:customStyle="1" w:styleId="UnresolvedMention">
    <w:name w:val="Unresolved Mention"/>
    <w:basedOn w:val="Policepardfaut"/>
    <w:uiPriority w:val="99"/>
    <w:semiHidden/>
    <w:unhideWhenUsed/>
    <w:rsid w:val="00487B92"/>
    <w:rPr>
      <w:color w:val="808080"/>
      <w:shd w:val="clear" w:color="auto" w:fill="E6E6E6"/>
    </w:rPr>
  </w:style>
  <w:style w:type="character" w:styleId="Lienhypertextesuivi">
    <w:name w:val="FollowedHyperlink"/>
    <w:basedOn w:val="Policepardfaut"/>
    <w:uiPriority w:val="99"/>
    <w:semiHidden/>
    <w:unhideWhenUsed/>
    <w:rsid w:val="00487B92"/>
    <w:rPr>
      <w:color w:val="FF00FF" w:themeColor="followedHyperlink"/>
      <w:u w:val="single"/>
    </w:rPr>
  </w:style>
  <w:style w:type="table" w:styleId="Grille">
    <w:name w:val="Table Grid"/>
    <w:basedOn w:val="TableauNormal"/>
    <w:uiPriority w:val="39"/>
    <w:rsid w:val="00696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
    <w:name w:val="Grid Table 2"/>
    <w:basedOn w:val="TableauNormal"/>
    <w:uiPriority w:val="47"/>
    <w:rsid w:val="00B61E4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
    <w:name w:val="Plain Table 3"/>
    <w:basedOn w:val="TableauNormal"/>
    <w:uiPriority w:val="43"/>
    <w:rsid w:val="0084795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
    <w:name w:val="header"/>
    <w:basedOn w:val="Normal"/>
    <w:link w:val="En-tteCar"/>
    <w:uiPriority w:val="99"/>
    <w:unhideWhenUsed/>
    <w:rsid w:val="003E06A2"/>
    <w:pPr>
      <w:tabs>
        <w:tab w:val="center" w:pos="4536"/>
        <w:tab w:val="right" w:pos="9072"/>
      </w:tabs>
    </w:pPr>
  </w:style>
  <w:style w:type="character" w:customStyle="1" w:styleId="En-tteCar">
    <w:name w:val="En-tête Car"/>
    <w:basedOn w:val="Policepardfaut"/>
    <w:link w:val="En-tte"/>
    <w:uiPriority w:val="99"/>
    <w:rsid w:val="003E06A2"/>
    <w:rPr>
      <w:sz w:val="24"/>
      <w:szCs w:val="24"/>
      <w:lang w:val="en-US" w:eastAsia="en-US"/>
    </w:rPr>
  </w:style>
  <w:style w:type="paragraph" w:styleId="Pieddepage">
    <w:name w:val="footer"/>
    <w:basedOn w:val="Normal"/>
    <w:link w:val="PieddepageCar"/>
    <w:uiPriority w:val="99"/>
    <w:unhideWhenUsed/>
    <w:rsid w:val="003E06A2"/>
    <w:pPr>
      <w:tabs>
        <w:tab w:val="center" w:pos="4536"/>
        <w:tab w:val="right" w:pos="9072"/>
      </w:tabs>
    </w:pPr>
  </w:style>
  <w:style w:type="character" w:customStyle="1" w:styleId="PieddepageCar">
    <w:name w:val="Pied de page Car"/>
    <w:basedOn w:val="Policepardfaut"/>
    <w:link w:val="Pieddepage"/>
    <w:uiPriority w:val="99"/>
    <w:rsid w:val="003E06A2"/>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numbering" w:customStyle="1" w:styleId="Tiret">
    <w:name w:val="Tiret"/>
    <w:pPr>
      <w:numPr>
        <w:numId w:val="1"/>
      </w:numPr>
    </w:pPr>
  </w:style>
  <w:style w:type="character" w:customStyle="1" w:styleId="UnresolvedMention">
    <w:name w:val="Unresolved Mention"/>
    <w:basedOn w:val="Policepardfaut"/>
    <w:uiPriority w:val="99"/>
    <w:semiHidden/>
    <w:unhideWhenUsed/>
    <w:rsid w:val="00487B92"/>
    <w:rPr>
      <w:color w:val="808080"/>
      <w:shd w:val="clear" w:color="auto" w:fill="E6E6E6"/>
    </w:rPr>
  </w:style>
  <w:style w:type="character" w:styleId="Lienhypertextesuivi">
    <w:name w:val="FollowedHyperlink"/>
    <w:basedOn w:val="Policepardfaut"/>
    <w:uiPriority w:val="99"/>
    <w:semiHidden/>
    <w:unhideWhenUsed/>
    <w:rsid w:val="00487B92"/>
    <w:rPr>
      <w:color w:val="FF00FF" w:themeColor="followedHyperlink"/>
      <w:u w:val="single"/>
    </w:rPr>
  </w:style>
  <w:style w:type="table" w:styleId="Grille">
    <w:name w:val="Table Grid"/>
    <w:basedOn w:val="TableauNormal"/>
    <w:uiPriority w:val="39"/>
    <w:rsid w:val="00696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
    <w:name w:val="Grid Table 2"/>
    <w:basedOn w:val="TableauNormal"/>
    <w:uiPriority w:val="47"/>
    <w:rsid w:val="00B61E4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
    <w:name w:val="Plain Table 3"/>
    <w:basedOn w:val="TableauNormal"/>
    <w:uiPriority w:val="43"/>
    <w:rsid w:val="0084795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
    <w:name w:val="header"/>
    <w:basedOn w:val="Normal"/>
    <w:link w:val="En-tteCar"/>
    <w:uiPriority w:val="99"/>
    <w:unhideWhenUsed/>
    <w:rsid w:val="003E06A2"/>
    <w:pPr>
      <w:tabs>
        <w:tab w:val="center" w:pos="4536"/>
        <w:tab w:val="right" w:pos="9072"/>
      </w:tabs>
    </w:pPr>
  </w:style>
  <w:style w:type="character" w:customStyle="1" w:styleId="En-tteCar">
    <w:name w:val="En-tête Car"/>
    <w:basedOn w:val="Policepardfaut"/>
    <w:link w:val="En-tte"/>
    <w:uiPriority w:val="99"/>
    <w:rsid w:val="003E06A2"/>
    <w:rPr>
      <w:sz w:val="24"/>
      <w:szCs w:val="24"/>
      <w:lang w:val="en-US" w:eastAsia="en-US"/>
    </w:rPr>
  </w:style>
  <w:style w:type="paragraph" w:styleId="Pieddepage">
    <w:name w:val="footer"/>
    <w:basedOn w:val="Normal"/>
    <w:link w:val="PieddepageCar"/>
    <w:uiPriority w:val="99"/>
    <w:unhideWhenUsed/>
    <w:rsid w:val="003E06A2"/>
    <w:pPr>
      <w:tabs>
        <w:tab w:val="center" w:pos="4536"/>
        <w:tab w:val="right" w:pos="9072"/>
      </w:tabs>
    </w:pPr>
  </w:style>
  <w:style w:type="character" w:customStyle="1" w:styleId="PieddepageCar">
    <w:name w:val="Pied de page Car"/>
    <w:basedOn w:val="Policepardfaut"/>
    <w:link w:val="Pieddepage"/>
    <w:uiPriority w:val="99"/>
    <w:rsid w:val="003E06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oit-finances.commentcamarche.com/download/telecharger-440-rgpd-2018-texte-du-rgpd" TargetMode="External"/><Relationship Id="rId9" Type="http://schemas.openxmlformats.org/officeDocument/2006/relationships/hyperlink" Target="https://www.legifrance.gouv.fr/affichTexte.do?cidTexte=JORFTEXT000000886460" TargetMode="External"/><Relationship Id="rId10" Type="http://schemas.openxmlformats.org/officeDocument/2006/relationships/hyperlink" Target="https://www.legifrance.gouv.fr/eli/decret/2016/7/20/AFSH1612283D/jo/text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3977</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cp:lastModifiedBy>
  <cp:revision>3</cp:revision>
  <dcterms:created xsi:type="dcterms:W3CDTF">2018-05-21T17:36:00Z</dcterms:created>
  <dcterms:modified xsi:type="dcterms:W3CDTF">2018-05-22T13:15:00Z</dcterms:modified>
</cp:coreProperties>
</file>